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B" w:rsidRDefault="00A45CFA">
      <w:pPr>
        <w:rPr>
          <w:b/>
        </w:rPr>
      </w:pPr>
      <w:bookmarkStart w:id="0" w:name="_GoBack"/>
      <w:bookmarkEnd w:id="0"/>
      <w:r w:rsidRPr="00A45CFA">
        <w:rPr>
          <w:b/>
        </w:rPr>
        <w:t xml:space="preserve">Covid-19 – </w:t>
      </w:r>
      <w:r w:rsidR="00893F87">
        <w:rPr>
          <w:b/>
        </w:rPr>
        <w:t>Community Pharmacy</w:t>
      </w:r>
      <w:r>
        <w:rPr>
          <w:b/>
        </w:rPr>
        <w:t xml:space="preserve"> Continuity Plan</w:t>
      </w:r>
      <w:r w:rsidR="004317F3">
        <w:rPr>
          <w:b/>
        </w:rPr>
        <w:t>: Actions to be taken by Turning Point if there is disruption to medication supplies through a community pharmacy closure</w:t>
      </w:r>
    </w:p>
    <w:p w:rsidR="00A45CFA" w:rsidRPr="00A45CFA" w:rsidRDefault="00A45CFA" w:rsidP="00A45CFA">
      <w:pPr>
        <w:rPr>
          <w:b/>
        </w:rPr>
      </w:pPr>
      <w:r w:rsidRPr="00A45CFA">
        <w:rPr>
          <w:b/>
        </w:rPr>
        <w:t>Background</w:t>
      </w:r>
    </w:p>
    <w:p w:rsidR="00A45CFA" w:rsidRDefault="00A45CFA" w:rsidP="00A45CFA">
      <w:r>
        <w:t>Covid-</w:t>
      </w:r>
      <w:r w:rsidRPr="00A45CFA">
        <w:t>19</w:t>
      </w:r>
      <w:r>
        <w:t xml:space="preserve"> is transmitted from person to person by close contact. Some examples of how it can be spread include:</w:t>
      </w:r>
    </w:p>
    <w:p w:rsidR="00A45CFA" w:rsidRDefault="00A45CFA" w:rsidP="00A45CFA">
      <w:pPr>
        <w:pStyle w:val="ListParagraph"/>
        <w:numPr>
          <w:ilvl w:val="0"/>
          <w:numId w:val="2"/>
        </w:numPr>
      </w:pPr>
      <w:r>
        <w:t>large droplets from coughing and or sneezing by an infected person within a short distance (usually one metre or less) of someone</w:t>
      </w:r>
    </w:p>
    <w:p w:rsidR="00A45CFA" w:rsidRDefault="00A45CFA" w:rsidP="00A45CFA">
      <w:pPr>
        <w:pStyle w:val="ListParagraph"/>
        <w:numPr>
          <w:ilvl w:val="0"/>
          <w:numId w:val="2"/>
        </w:numPr>
      </w:pPr>
      <w:r>
        <w:t>touching or shaking the hand of an infected person and then touching your mouth, eyes or nose without first washing your hands</w:t>
      </w:r>
    </w:p>
    <w:p w:rsidR="00A45CFA" w:rsidRDefault="00A45CFA" w:rsidP="00A45CFA">
      <w:pPr>
        <w:pStyle w:val="ListParagraph"/>
        <w:numPr>
          <w:ilvl w:val="0"/>
          <w:numId w:val="2"/>
        </w:numPr>
      </w:pPr>
      <w:r>
        <w:t>touching surfaces or objects (such as door handles) that have become contaminated with the virus and then touching your mouth, eyes or nose without first washing your hands (PHE, 2020)</w:t>
      </w:r>
    </w:p>
    <w:p w:rsidR="00A45CFA" w:rsidRDefault="00893F87" w:rsidP="00A45CFA">
      <w:r>
        <w:t>If a community pharmacy branch is closed as a result of a suspected Covid-19 infection this will impact on any individual due to collect medication from that branch</w:t>
      </w:r>
      <w:r w:rsidR="00421C94">
        <w:t xml:space="preserve"> and/or supply of NSP paraphernalia.  T</w:t>
      </w:r>
      <w:r>
        <w:t xml:space="preserve">his is likely to most significantly impact Turning Point clients that have daily collection or supervised consumption arrangements in place. </w:t>
      </w:r>
    </w:p>
    <w:p w:rsidR="002B0B89" w:rsidRDefault="002B0B89" w:rsidP="00A45CFA">
      <w:pPr>
        <w:rPr>
          <w:b/>
        </w:rPr>
      </w:pPr>
      <w:r w:rsidRPr="002B0B89">
        <w:rPr>
          <w:b/>
        </w:rPr>
        <w:t>Contingency Plan</w:t>
      </w:r>
    </w:p>
    <w:p w:rsidR="00893F87" w:rsidRDefault="00893F87">
      <w:r>
        <w:rPr>
          <w:b/>
        </w:rPr>
        <w:t xml:space="preserve">Step 1: </w:t>
      </w:r>
      <w:r w:rsidRPr="00893F87">
        <w:t xml:space="preserve">Turning Point notified that </w:t>
      </w:r>
      <w:r w:rsidR="003332BB">
        <w:t xml:space="preserve">the </w:t>
      </w:r>
      <w:r w:rsidRPr="00893F87">
        <w:t xml:space="preserve">community pharmacy is closed and </w:t>
      </w:r>
      <w:r w:rsidR="00C102F0">
        <w:t xml:space="preserve">the </w:t>
      </w:r>
      <w:r w:rsidRPr="00893F87">
        <w:t>likely duration of closure</w:t>
      </w:r>
    </w:p>
    <w:p w:rsidR="00893F87" w:rsidRDefault="00893F87">
      <w:r w:rsidRPr="00893F87">
        <w:rPr>
          <w:b/>
        </w:rPr>
        <w:t xml:space="preserve">Step 2: </w:t>
      </w:r>
      <w:r>
        <w:t>Clinical Administrators identify all clients that rec</w:t>
      </w:r>
      <w:r w:rsidR="00C102F0">
        <w:t>eive medication from that community pharmacy</w:t>
      </w:r>
      <w:r>
        <w:t xml:space="preserve"> and the collection/ supervised consumption arrangements for those clients</w:t>
      </w:r>
    </w:p>
    <w:p w:rsidR="00893F87" w:rsidRDefault="00893F87">
      <w:r w:rsidRPr="00893F87">
        <w:rPr>
          <w:b/>
        </w:rPr>
        <w:t>Step 3</w:t>
      </w:r>
      <w:r>
        <w:t xml:space="preserve">: Alternative community pharmacy in close proximity to the closed pharmacy identified </w:t>
      </w:r>
      <w:r w:rsidR="00C102F0">
        <w:t>and agreement obtained from the alternative pharmacy to</w:t>
      </w:r>
      <w:r>
        <w:t xml:space="preserve"> supply to clients for the duration of the closure</w:t>
      </w:r>
      <w:r w:rsidR="00C102F0">
        <w:t>. Each pharmacy should have a Business Continuity Plan or BCP which should identify how they work in collaboration with neighbouring pharmacies, local practices and the wider multidisciplinary teams in these situations.</w:t>
      </w:r>
    </w:p>
    <w:p w:rsidR="00893F87" w:rsidRDefault="00893F87">
      <w:r w:rsidRPr="00893F87">
        <w:rPr>
          <w:b/>
        </w:rPr>
        <w:t>Step 4</w:t>
      </w:r>
      <w:r>
        <w:t xml:space="preserve">: Clients affected by the pharmacy closure informed of the pharmacy closure and the alternative pharmacy, reassurance and advice given to client on risks </w:t>
      </w:r>
      <w:r w:rsidR="003332BB">
        <w:t xml:space="preserve">and signs </w:t>
      </w:r>
      <w:r>
        <w:t>of</w:t>
      </w:r>
      <w:r w:rsidR="003332BB">
        <w:t xml:space="preserve"> Covid-19</w:t>
      </w:r>
      <w:r>
        <w:t xml:space="preserve"> infection and how to </w:t>
      </w:r>
      <w:r w:rsidR="003332BB">
        <w:t>self-isolate/</w:t>
      </w:r>
      <w:r>
        <w:t>report</w:t>
      </w:r>
      <w:r w:rsidR="003332BB">
        <w:t xml:space="preserve">. </w:t>
      </w:r>
    </w:p>
    <w:p w:rsidR="00893F87" w:rsidRDefault="00893F87">
      <w:r w:rsidRPr="00893F87">
        <w:rPr>
          <w:b/>
        </w:rPr>
        <w:t xml:space="preserve">Step 5: </w:t>
      </w:r>
      <w:r w:rsidRPr="00893F87">
        <w:t>Replacement prescriptions generated, signed by a prescriber and delivered to the</w:t>
      </w:r>
      <w:r>
        <w:rPr>
          <w:b/>
        </w:rPr>
        <w:t xml:space="preserve"> </w:t>
      </w:r>
      <w:r w:rsidRPr="00893F87">
        <w:t>community pharmacy as soon as possible either by courier or hand delivery in accordance with the Clinical Administration Policy</w:t>
      </w:r>
    </w:p>
    <w:p w:rsidR="00893F87" w:rsidRDefault="00893F87">
      <w:r w:rsidRPr="00893F87">
        <w:rPr>
          <w:b/>
        </w:rPr>
        <w:t>Step 6</w:t>
      </w:r>
      <w:r>
        <w:t>: Entries made on each client’s electronic client record explaining steps taken</w:t>
      </w:r>
    </w:p>
    <w:p w:rsidR="00C102F0" w:rsidRDefault="00C102F0" w:rsidP="00C102F0">
      <w:r>
        <w:t>Services may want to liaise closely with their Local Pharmaceutical Committee (LPC) to discuss arrangements with regards to pharmacy closures and local BCPs.</w:t>
      </w:r>
    </w:p>
    <w:p w:rsidR="00C102F0" w:rsidRDefault="00C102F0" w:rsidP="00C102F0"/>
    <w:p w:rsidR="00C102F0" w:rsidRDefault="00C102F0" w:rsidP="00C102F0">
      <w:r>
        <w:lastRenderedPageBreak/>
        <w:t xml:space="preserve"> LPC details can be found at the following website:</w:t>
      </w:r>
    </w:p>
    <w:p w:rsidR="00C102F0" w:rsidRDefault="00382D8E" w:rsidP="00C102F0">
      <w:hyperlink r:id="rId8" w:history="1">
        <w:r w:rsidR="00C102F0" w:rsidRPr="003557B0">
          <w:rPr>
            <w:rStyle w:val="Hyperlink"/>
          </w:rPr>
          <w:t>https://lpc-online.org.uk/</w:t>
        </w:r>
      </w:hyperlink>
      <w:r w:rsidR="00C102F0">
        <w:t xml:space="preserve"> </w:t>
      </w:r>
    </w:p>
    <w:p w:rsidR="00C102F0" w:rsidRDefault="00C102F0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Default="00421C94"/>
    <w:p w:rsidR="00421C94" w:rsidRPr="00893F87" w:rsidRDefault="00421C94"/>
    <w:p w:rsidR="00A45CFA" w:rsidRPr="00A45CFA" w:rsidRDefault="00A45CFA">
      <w:pPr>
        <w:rPr>
          <w:b/>
        </w:rPr>
      </w:pPr>
      <w:r w:rsidRPr="00A45CFA">
        <w:rPr>
          <w:b/>
        </w:rPr>
        <w:t xml:space="preserve">References: </w:t>
      </w:r>
    </w:p>
    <w:p w:rsidR="00A45CFA" w:rsidRPr="00A45CFA" w:rsidRDefault="00A45CFA" w:rsidP="00A45CFA">
      <w:pPr>
        <w:pStyle w:val="ListParagraph"/>
        <w:numPr>
          <w:ilvl w:val="0"/>
          <w:numId w:val="1"/>
        </w:numPr>
      </w:pPr>
      <w:r w:rsidRPr="00A45CFA">
        <w:rPr>
          <w:lang w:val="en"/>
        </w:rPr>
        <w:t>PHE,</w:t>
      </w:r>
      <w:r w:rsidRPr="00A45CFA">
        <w:t xml:space="preserve"> </w:t>
      </w:r>
      <w:r w:rsidRPr="00A45CFA">
        <w:rPr>
          <w:lang w:val="en"/>
        </w:rPr>
        <w:t>COVID-19: interim guidance for primary care, Updated 7 February 2020</w:t>
      </w:r>
    </w:p>
    <w:p w:rsidR="00A45CFA" w:rsidRDefault="00A45CFA" w:rsidP="00A45CFA">
      <w:pPr>
        <w:pStyle w:val="ListParagraph"/>
        <w:numPr>
          <w:ilvl w:val="0"/>
          <w:numId w:val="1"/>
        </w:numPr>
      </w:pPr>
      <w:r>
        <w:t>PHE, COVID-19: guidance for staff in the transport sector, Published 14 February 2020</w:t>
      </w:r>
    </w:p>
    <w:p w:rsidR="00743EB6" w:rsidRDefault="00743EB6" w:rsidP="00743EB6">
      <w:pPr>
        <w:pStyle w:val="ListParagraph"/>
        <w:numPr>
          <w:ilvl w:val="0"/>
          <w:numId w:val="1"/>
        </w:numPr>
      </w:pPr>
      <w:r>
        <w:t xml:space="preserve">NHSE&amp;I, </w:t>
      </w:r>
      <w:r w:rsidRPr="00743EB6">
        <w:t>Novel coronavirus (COVID-19) standard operating procedure – Community pharmacy</w:t>
      </w:r>
      <w:r>
        <w:t>, Published 27 February 2020</w:t>
      </w:r>
    </w:p>
    <w:p w:rsidR="00C102F0" w:rsidRDefault="00C102F0" w:rsidP="00C102F0">
      <w:pPr>
        <w:pStyle w:val="ListParagraph"/>
        <w:numPr>
          <w:ilvl w:val="0"/>
          <w:numId w:val="1"/>
        </w:numPr>
      </w:pPr>
      <w:r>
        <w:t>NHSE. Community Pharmacy update regarding the emerging COVID-19 situation. Publications approval reference 001559. 9 March 2020</w:t>
      </w:r>
    </w:p>
    <w:p w:rsidR="00C102F0" w:rsidRPr="00A45CFA" w:rsidRDefault="00C102F0" w:rsidP="00C102F0">
      <w:pPr>
        <w:pStyle w:val="ListParagraph"/>
      </w:pPr>
    </w:p>
    <w:p w:rsidR="003332BB" w:rsidRPr="00B41B6A" w:rsidRDefault="003332BB" w:rsidP="00743EB6">
      <w:pPr>
        <w:spacing w:after="0"/>
        <w:rPr>
          <w:b/>
        </w:rPr>
      </w:pPr>
      <w:r w:rsidRPr="00B41B6A">
        <w:rPr>
          <w:b/>
        </w:rPr>
        <w:t xml:space="preserve">Produced by: </w:t>
      </w:r>
    </w:p>
    <w:p w:rsidR="00C102F0" w:rsidRDefault="00C102F0" w:rsidP="00743EB6">
      <w:pPr>
        <w:spacing w:after="0"/>
      </w:pPr>
      <w:r>
        <w:t>Graham Parsons, Chief Pharmacist, Turning Point</w:t>
      </w:r>
    </w:p>
    <w:p w:rsidR="003332BB" w:rsidRDefault="003332BB" w:rsidP="00743EB6">
      <w:pPr>
        <w:spacing w:after="0"/>
      </w:pPr>
      <w:r>
        <w:t xml:space="preserve">Katherine Watkinson, Pharmacy Support Services Technician, Turning Point </w:t>
      </w:r>
    </w:p>
    <w:p w:rsidR="003332BB" w:rsidRDefault="00421C94" w:rsidP="003332BB">
      <w:r>
        <w:t>12</w:t>
      </w:r>
      <w:r w:rsidR="00C102F0" w:rsidRPr="00C102F0">
        <w:rPr>
          <w:vertAlign w:val="superscript"/>
        </w:rPr>
        <w:t>th</w:t>
      </w:r>
      <w:r w:rsidR="00C102F0">
        <w:t xml:space="preserve"> March</w:t>
      </w:r>
      <w:r w:rsidR="00743EB6">
        <w:t xml:space="preserve"> 2020</w:t>
      </w:r>
    </w:p>
    <w:sectPr w:rsidR="003332BB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8E" w:rsidRDefault="00382D8E" w:rsidP="00413828">
      <w:pPr>
        <w:spacing w:after="0" w:line="240" w:lineRule="auto"/>
      </w:pPr>
      <w:r>
        <w:separator/>
      </w:r>
    </w:p>
  </w:endnote>
  <w:endnote w:type="continuationSeparator" w:id="0">
    <w:p w:rsidR="00382D8E" w:rsidRDefault="00382D8E" w:rsidP="0041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8E" w:rsidRDefault="00382D8E" w:rsidP="00413828">
      <w:pPr>
        <w:spacing w:after="0" w:line="240" w:lineRule="auto"/>
      </w:pPr>
      <w:r>
        <w:separator/>
      </w:r>
    </w:p>
  </w:footnote>
  <w:footnote w:type="continuationSeparator" w:id="0">
    <w:p w:rsidR="00382D8E" w:rsidRDefault="00382D8E" w:rsidP="0041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8" w:rsidRDefault="00413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8" w:rsidRDefault="003C51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-125730</wp:posOffset>
          </wp:positionV>
          <wp:extent cx="902154" cy="495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154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28" w:rsidRDefault="00413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D58"/>
    <w:multiLevelType w:val="hybridMultilevel"/>
    <w:tmpl w:val="7310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BE4"/>
    <w:multiLevelType w:val="hybridMultilevel"/>
    <w:tmpl w:val="11B4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FA"/>
    <w:rsid w:val="0001505B"/>
    <w:rsid w:val="00190BEE"/>
    <w:rsid w:val="001B126E"/>
    <w:rsid w:val="002B0B89"/>
    <w:rsid w:val="002C157D"/>
    <w:rsid w:val="003332BB"/>
    <w:rsid w:val="00382D8E"/>
    <w:rsid w:val="003C514D"/>
    <w:rsid w:val="00413828"/>
    <w:rsid w:val="00421C94"/>
    <w:rsid w:val="004317F3"/>
    <w:rsid w:val="00464810"/>
    <w:rsid w:val="005A2BBC"/>
    <w:rsid w:val="00620795"/>
    <w:rsid w:val="006E7103"/>
    <w:rsid w:val="00743EB6"/>
    <w:rsid w:val="00850606"/>
    <w:rsid w:val="00893F87"/>
    <w:rsid w:val="00A45CFA"/>
    <w:rsid w:val="00B91F9B"/>
    <w:rsid w:val="00BC76FF"/>
    <w:rsid w:val="00C102F0"/>
    <w:rsid w:val="00D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28"/>
  </w:style>
  <w:style w:type="paragraph" w:styleId="Footer">
    <w:name w:val="footer"/>
    <w:basedOn w:val="Normal"/>
    <w:link w:val="FooterChar"/>
    <w:uiPriority w:val="99"/>
    <w:unhideWhenUsed/>
    <w:rsid w:val="0041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28"/>
  </w:style>
  <w:style w:type="character" w:styleId="CommentReference">
    <w:name w:val="annotation reference"/>
    <w:basedOn w:val="DefaultParagraphFont"/>
    <w:uiPriority w:val="99"/>
    <w:semiHidden/>
    <w:unhideWhenUsed/>
    <w:rsid w:val="00BC7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28"/>
  </w:style>
  <w:style w:type="paragraph" w:styleId="Footer">
    <w:name w:val="footer"/>
    <w:basedOn w:val="Normal"/>
    <w:link w:val="FooterChar"/>
    <w:uiPriority w:val="99"/>
    <w:unhideWhenUsed/>
    <w:rsid w:val="00413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28"/>
  </w:style>
  <w:style w:type="character" w:styleId="CommentReference">
    <w:name w:val="annotation reference"/>
    <w:basedOn w:val="DefaultParagraphFont"/>
    <w:uiPriority w:val="99"/>
    <w:semiHidden/>
    <w:unhideWhenUsed/>
    <w:rsid w:val="00BC7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c-online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Watkinson</dc:creator>
  <cp:lastModifiedBy>Katherine Watkinson</cp:lastModifiedBy>
  <cp:revision>2</cp:revision>
  <dcterms:created xsi:type="dcterms:W3CDTF">2020-03-12T17:27:00Z</dcterms:created>
  <dcterms:modified xsi:type="dcterms:W3CDTF">2020-03-12T17:27:00Z</dcterms:modified>
</cp:coreProperties>
</file>