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7583"/>
      </w:tblGrid>
      <w:tr w:rsidR="007E54EC" w:rsidRPr="00AA33A8">
        <w:tc>
          <w:tcPr>
            <w:tcW w:w="2448" w:type="dxa"/>
          </w:tcPr>
          <w:p w:rsidR="007E54EC" w:rsidRPr="00AA33A8" w:rsidRDefault="007E54EC">
            <w:pPr>
              <w:rPr>
                <w:rFonts w:ascii="Arial" w:hAnsi="Arial"/>
                <w:sz w:val="24"/>
                <w:szCs w:val="24"/>
              </w:rPr>
            </w:pPr>
            <w:bookmarkStart w:id="0" w:name="_GoBack"/>
            <w:bookmarkEnd w:id="0"/>
          </w:p>
        </w:tc>
        <w:tc>
          <w:tcPr>
            <w:tcW w:w="7583" w:type="dxa"/>
          </w:tcPr>
          <w:p w:rsidR="007E54EC" w:rsidRPr="00AA33A8" w:rsidRDefault="007E54EC">
            <w:pPr>
              <w:ind w:right="-108"/>
              <w:jc w:val="right"/>
              <w:rPr>
                <w:noProof/>
                <w:sz w:val="24"/>
                <w:szCs w:val="24"/>
                <w:lang w:val="en-US"/>
              </w:rPr>
            </w:pPr>
            <w:r w:rsidRPr="00AA33A8">
              <w:rPr>
                <w:sz w:val="24"/>
                <w:szCs w:val="24"/>
              </w:rPr>
              <w:t xml:space="preserve">    </w:t>
            </w:r>
            <w:r w:rsidR="001E1AEC">
              <w:rPr>
                <w:noProof/>
                <w:lang w:val="en-US"/>
              </w:rPr>
              <w:drawing>
                <wp:inline distT="0" distB="0" distL="0" distR="0">
                  <wp:extent cx="2638425" cy="771525"/>
                  <wp:effectExtent l="19050" t="0" r="9525" b="0"/>
                  <wp:docPr id="2" name="Picture 1" descr="\\bpctsan2\shared_data\SPH Personal Assistants\Communications &amp; Engagement\COMMUNICATIONS\Photos, logos and branding\Logos and branding\Bolton CCG\Bolton Clinical Commissioning Group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tsan2\shared_data\SPH Personal Assistants\Communications &amp; Engagement\COMMUNICATIONS\Photos, logos and branding\Logos and branding\Bolton CCG\Bolton Clinical Commissioning GroupCOL.jpg"/>
                          <pic:cNvPicPr>
                            <a:picLocks noChangeAspect="1" noChangeArrowheads="1"/>
                          </pic:cNvPicPr>
                        </pic:nvPicPr>
                        <pic:blipFill>
                          <a:blip r:embed="rId8" cstate="print"/>
                          <a:srcRect/>
                          <a:stretch>
                            <a:fillRect/>
                          </a:stretch>
                        </pic:blipFill>
                        <pic:spPr bwMode="auto">
                          <a:xfrm>
                            <a:off x="0" y="0"/>
                            <a:ext cx="2638425" cy="771525"/>
                          </a:xfrm>
                          <a:prstGeom prst="rect">
                            <a:avLst/>
                          </a:prstGeom>
                          <a:noFill/>
                          <a:ln w="9525">
                            <a:noFill/>
                            <a:miter lim="800000"/>
                            <a:headEnd/>
                            <a:tailEnd/>
                          </a:ln>
                        </pic:spPr>
                      </pic:pic>
                    </a:graphicData>
                  </a:graphic>
                </wp:inline>
              </w:drawing>
            </w:r>
          </w:p>
          <w:p w:rsidR="00132544" w:rsidRPr="00AA33A8" w:rsidRDefault="00132544">
            <w:pPr>
              <w:ind w:right="-108"/>
              <w:jc w:val="right"/>
              <w:rPr>
                <w:sz w:val="24"/>
                <w:szCs w:val="24"/>
              </w:rPr>
            </w:pPr>
          </w:p>
          <w:p w:rsidR="007E54EC" w:rsidRPr="00AA33A8" w:rsidRDefault="007E54EC">
            <w:pPr>
              <w:jc w:val="right"/>
              <w:rPr>
                <w:rFonts w:ascii="Arial" w:hAnsi="Arial"/>
                <w:sz w:val="24"/>
                <w:szCs w:val="24"/>
              </w:rPr>
            </w:pPr>
          </w:p>
        </w:tc>
      </w:tr>
    </w:tbl>
    <w:p w:rsidR="007E54EC" w:rsidRPr="00AA33A8" w:rsidRDefault="007E54EC">
      <w:pPr>
        <w:rPr>
          <w:rFonts w:ascii="Arial" w:hAnsi="Arial"/>
          <w:sz w:val="24"/>
          <w:szCs w:val="24"/>
        </w:rPr>
        <w:sectPr w:rsidR="007E54EC" w:rsidRPr="00AA33A8">
          <w:footerReference w:type="default" r:id="rId9"/>
          <w:pgSz w:w="11909" w:h="16834" w:code="9"/>
          <w:pgMar w:top="720" w:right="720" w:bottom="1440" w:left="1296" w:header="706" w:footer="216" w:gutter="0"/>
          <w:cols w:space="720"/>
        </w:sectPr>
      </w:pPr>
    </w:p>
    <w:tbl>
      <w:tblPr>
        <w:tblW w:w="10031" w:type="dxa"/>
        <w:tblLayout w:type="fixed"/>
        <w:tblLook w:val="0000" w:firstRow="0" w:lastRow="0" w:firstColumn="0" w:lastColumn="0" w:noHBand="0" w:noVBand="0"/>
      </w:tblPr>
      <w:tblGrid>
        <w:gridCol w:w="1458"/>
        <w:gridCol w:w="5490"/>
        <w:gridCol w:w="3083"/>
      </w:tblGrid>
      <w:tr w:rsidR="007E54EC" w:rsidRPr="00AA33A8">
        <w:trPr>
          <w:cantSplit/>
        </w:trPr>
        <w:tc>
          <w:tcPr>
            <w:tcW w:w="1458" w:type="dxa"/>
          </w:tcPr>
          <w:p w:rsidR="007E54EC" w:rsidRPr="00AA33A8" w:rsidRDefault="00AA33A8">
            <w:pPr>
              <w:rPr>
                <w:rFonts w:ascii="Arial" w:hAnsi="Arial"/>
                <w:b/>
                <w:sz w:val="24"/>
                <w:szCs w:val="24"/>
              </w:rPr>
            </w:pPr>
            <w:r>
              <w:rPr>
                <w:rFonts w:ascii="Arial" w:hAnsi="Arial"/>
                <w:b/>
                <w:sz w:val="24"/>
                <w:szCs w:val="24"/>
              </w:rPr>
              <w:lastRenderedPageBreak/>
              <w:t>Telephone</w:t>
            </w:r>
          </w:p>
        </w:tc>
        <w:tc>
          <w:tcPr>
            <w:tcW w:w="5490" w:type="dxa"/>
          </w:tcPr>
          <w:p w:rsidR="007E54EC" w:rsidRPr="00AA33A8" w:rsidRDefault="00972419">
            <w:pPr>
              <w:pStyle w:val="Header"/>
              <w:tabs>
                <w:tab w:val="clear" w:pos="4153"/>
                <w:tab w:val="clear" w:pos="8306"/>
              </w:tabs>
              <w:rPr>
                <w:rFonts w:ascii="Arial" w:hAnsi="Arial"/>
                <w:sz w:val="24"/>
                <w:szCs w:val="24"/>
              </w:rPr>
            </w:pPr>
            <w:bookmarkStart w:id="1" w:name="telephone"/>
            <w:bookmarkEnd w:id="1"/>
            <w:r>
              <w:rPr>
                <w:rFonts w:ascii="Arial" w:hAnsi="Arial"/>
                <w:sz w:val="24"/>
                <w:szCs w:val="24"/>
              </w:rPr>
              <w:t>01204-462</w:t>
            </w:r>
            <w:r w:rsidR="00296970">
              <w:rPr>
                <w:rFonts w:ascii="Arial" w:hAnsi="Arial"/>
                <w:sz w:val="24"/>
                <w:szCs w:val="24"/>
              </w:rPr>
              <w:t>125</w:t>
            </w:r>
          </w:p>
        </w:tc>
        <w:tc>
          <w:tcPr>
            <w:tcW w:w="3083" w:type="dxa"/>
            <w:vMerge w:val="restart"/>
          </w:tcPr>
          <w:p w:rsidR="007E54EC" w:rsidRPr="00AA33A8" w:rsidRDefault="007E54EC">
            <w:pPr>
              <w:ind w:right="-108"/>
              <w:jc w:val="right"/>
              <w:rPr>
                <w:rFonts w:ascii="Arial" w:hAnsi="Arial"/>
                <w:b/>
                <w:sz w:val="24"/>
                <w:szCs w:val="24"/>
              </w:rPr>
            </w:pPr>
            <w:bookmarkStart w:id="2" w:name="f1"/>
            <w:bookmarkEnd w:id="2"/>
            <w:r w:rsidRPr="00AA33A8">
              <w:rPr>
                <w:rFonts w:ascii="Arial" w:hAnsi="Arial"/>
                <w:b/>
                <w:sz w:val="24"/>
                <w:szCs w:val="24"/>
              </w:rPr>
              <w:t>St Peter’s House</w:t>
            </w:r>
          </w:p>
          <w:p w:rsidR="007E54EC" w:rsidRPr="00AA33A8" w:rsidRDefault="007E54EC">
            <w:pPr>
              <w:ind w:right="-108"/>
              <w:jc w:val="right"/>
              <w:rPr>
                <w:rFonts w:ascii="Arial" w:hAnsi="Arial"/>
                <w:b/>
                <w:sz w:val="24"/>
                <w:szCs w:val="24"/>
              </w:rPr>
            </w:pPr>
            <w:proofErr w:type="spellStart"/>
            <w:r w:rsidRPr="00AA33A8">
              <w:rPr>
                <w:rFonts w:ascii="Arial" w:hAnsi="Arial"/>
                <w:b/>
                <w:sz w:val="24"/>
                <w:szCs w:val="24"/>
              </w:rPr>
              <w:t>Silverwell</w:t>
            </w:r>
            <w:proofErr w:type="spellEnd"/>
            <w:r w:rsidRPr="00AA33A8">
              <w:rPr>
                <w:rFonts w:ascii="Arial" w:hAnsi="Arial"/>
                <w:b/>
                <w:sz w:val="24"/>
                <w:szCs w:val="24"/>
              </w:rPr>
              <w:t xml:space="preserve"> Street</w:t>
            </w:r>
          </w:p>
          <w:p w:rsidR="007E54EC" w:rsidRPr="00AA33A8" w:rsidRDefault="007E54EC">
            <w:pPr>
              <w:ind w:right="-108"/>
              <w:jc w:val="right"/>
              <w:rPr>
                <w:rFonts w:ascii="Arial" w:hAnsi="Arial"/>
                <w:b/>
                <w:sz w:val="24"/>
                <w:szCs w:val="24"/>
              </w:rPr>
            </w:pPr>
            <w:r w:rsidRPr="00AA33A8">
              <w:rPr>
                <w:rFonts w:ascii="Arial" w:hAnsi="Arial"/>
                <w:b/>
                <w:sz w:val="24"/>
                <w:szCs w:val="24"/>
              </w:rPr>
              <w:t xml:space="preserve">Bolton </w:t>
            </w:r>
          </w:p>
          <w:p w:rsidR="007E54EC" w:rsidRPr="00AA33A8" w:rsidRDefault="007E54EC">
            <w:pPr>
              <w:ind w:right="-108"/>
              <w:jc w:val="right"/>
              <w:rPr>
                <w:rFonts w:ascii="Arial" w:hAnsi="Arial"/>
                <w:b/>
                <w:sz w:val="24"/>
                <w:szCs w:val="24"/>
              </w:rPr>
            </w:pPr>
            <w:r w:rsidRPr="00AA33A8">
              <w:rPr>
                <w:rFonts w:ascii="Arial" w:hAnsi="Arial"/>
                <w:b/>
                <w:sz w:val="24"/>
                <w:szCs w:val="24"/>
              </w:rPr>
              <w:t>BL1 1PP</w:t>
            </w:r>
          </w:p>
        </w:tc>
      </w:tr>
      <w:tr w:rsidR="007E54EC" w:rsidRPr="00AA33A8">
        <w:trPr>
          <w:cantSplit/>
        </w:trPr>
        <w:tc>
          <w:tcPr>
            <w:tcW w:w="1458" w:type="dxa"/>
          </w:tcPr>
          <w:p w:rsidR="007E54EC" w:rsidRPr="00AA33A8" w:rsidRDefault="007E54EC">
            <w:pPr>
              <w:rPr>
                <w:rFonts w:ascii="Arial" w:hAnsi="Arial"/>
                <w:b/>
                <w:sz w:val="24"/>
                <w:szCs w:val="24"/>
              </w:rPr>
            </w:pPr>
            <w:r w:rsidRPr="00AA33A8">
              <w:rPr>
                <w:rFonts w:ascii="Arial" w:hAnsi="Arial"/>
                <w:b/>
                <w:sz w:val="24"/>
                <w:szCs w:val="24"/>
              </w:rPr>
              <w:t>Fax:</w:t>
            </w:r>
          </w:p>
        </w:tc>
        <w:tc>
          <w:tcPr>
            <w:tcW w:w="5490" w:type="dxa"/>
          </w:tcPr>
          <w:p w:rsidR="007E54EC" w:rsidRPr="00AA33A8" w:rsidRDefault="00972419">
            <w:pPr>
              <w:rPr>
                <w:rFonts w:ascii="Arial" w:hAnsi="Arial"/>
                <w:sz w:val="24"/>
                <w:szCs w:val="24"/>
              </w:rPr>
            </w:pPr>
            <w:bookmarkStart w:id="3" w:name="fax"/>
            <w:bookmarkEnd w:id="3"/>
            <w:r>
              <w:rPr>
                <w:rFonts w:ascii="Arial" w:hAnsi="Arial"/>
                <w:sz w:val="24"/>
                <w:szCs w:val="24"/>
              </w:rPr>
              <w:t>01204-462</w:t>
            </w:r>
            <w:r w:rsidR="00296970">
              <w:rPr>
                <w:rFonts w:ascii="Arial" w:hAnsi="Arial"/>
                <w:sz w:val="24"/>
                <w:szCs w:val="24"/>
              </w:rPr>
              <w:t>221</w:t>
            </w:r>
          </w:p>
        </w:tc>
        <w:tc>
          <w:tcPr>
            <w:tcW w:w="3083" w:type="dxa"/>
            <w:vMerge/>
          </w:tcPr>
          <w:p w:rsidR="007E54EC" w:rsidRPr="00AA33A8" w:rsidRDefault="007E54EC">
            <w:pPr>
              <w:rPr>
                <w:rFonts w:ascii="Arial" w:hAnsi="Arial"/>
                <w:b/>
                <w:sz w:val="24"/>
                <w:szCs w:val="24"/>
              </w:rPr>
            </w:pPr>
          </w:p>
        </w:tc>
      </w:tr>
      <w:tr w:rsidR="007E54EC" w:rsidRPr="00AA33A8">
        <w:trPr>
          <w:cantSplit/>
        </w:trPr>
        <w:tc>
          <w:tcPr>
            <w:tcW w:w="1458" w:type="dxa"/>
          </w:tcPr>
          <w:p w:rsidR="007E54EC" w:rsidRPr="00AA33A8" w:rsidRDefault="007E54EC">
            <w:pPr>
              <w:rPr>
                <w:rFonts w:ascii="Arial" w:hAnsi="Arial"/>
                <w:b/>
                <w:sz w:val="24"/>
                <w:szCs w:val="24"/>
              </w:rPr>
            </w:pPr>
            <w:r w:rsidRPr="00AA33A8">
              <w:rPr>
                <w:rFonts w:ascii="Arial" w:hAnsi="Arial"/>
                <w:b/>
                <w:sz w:val="24"/>
                <w:szCs w:val="24"/>
              </w:rPr>
              <w:t>Our Ref:</w:t>
            </w:r>
          </w:p>
        </w:tc>
        <w:tc>
          <w:tcPr>
            <w:tcW w:w="5490" w:type="dxa"/>
          </w:tcPr>
          <w:p w:rsidR="008A67B1" w:rsidRPr="00AA33A8" w:rsidRDefault="00825BCE">
            <w:pPr>
              <w:rPr>
                <w:rFonts w:ascii="Arial" w:hAnsi="Arial"/>
                <w:sz w:val="24"/>
                <w:szCs w:val="24"/>
              </w:rPr>
            </w:pPr>
            <w:bookmarkStart w:id="4" w:name="c"/>
            <w:bookmarkEnd w:id="4"/>
            <w:r w:rsidRPr="00825BCE">
              <w:rPr>
                <w:rFonts w:ascii="Arial" w:hAnsi="Arial"/>
                <w:sz w:val="24"/>
                <w:szCs w:val="24"/>
              </w:rPr>
              <w:t>141230 Letter re pharmacy repeat ordering - LPC</w:t>
            </w:r>
          </w:p>
        </w:tc>
        <w:tc>
          <w:tcPr>
            <w:tcW w:w="3083" w:type="dxa"/>
            <w:vMerge/>
          </w:tcPr>
          <w:p w:rsidR="007E54EC" w:rsidRPr="00AA33A8" w:rsidRDefault="007E54EC">
            <w:pPr>
              <w:rPr>
                <w:rFonts w:ascii="Arial" w:hAnsi="Arial"/>
                <w:b/>
                <w:sz w:val="24"/>
                <w:szCs w:val="24"/>
              </w:rPr>
            </w:pPr>
          </w:p>
        </w:tc>
      </w:tr>
      <w:tr w:rsidR="007E54EC" w:rsidRPr="00AA33A8">
        <w:trPr>
          <w:cantSplit/>
        </w:trPr>
        <w:tc>
          <w:tcPr>
            <w:tcW w:w="1458" w:type="dxa"/>
          </w:tcPr>
          <w:p w:rsidR="007E54EC" w:rsidRPr="00AA33A8" w:rsidRDefault="007E54EC">
            <w:pPr>
              <w:rPr>
                <w:rFonts w:ascii="Arial" w:hAnsi="Arial"/>
                <w:b/>
                <w:sz w:val="24"/>
                <w:szCs w:val="24"/>
              </w:rPr>
            </w:pPr>
            <w:r w:rsidRPr="00AA33A8">
              <w:rPr>
                <w:rFonts w:ascii="Arial" w:hAnsi="Arial"/>
                <w:b/>
                <w:sz w:val="24"/>
                <w:szCs w:val="24"/>
              </w:rPr>
              <w:t>Your Ref:</w:t>
            </w:r>
          </w:p>
        </w:tc>
        <w:tc>
          <w:tcPr>
            <w:tcW w:w="5490" w:type="dxa"/>
          </w:tcPr>
          <w:p w:rsidR="007E54EC" w:rsidRPr="00AA33A8" w:rsidRDefault="007E54EC">
            <w:pPr>
              <w:rPr>
                <w:rFonts w:ascii="Arial" w:hAnsi="Arial"/>
                <w:sz w:val="24"/>
                <w:szCs w:val="24"/>
              </w:rPr>
            </w:pPr>
            <w:bookmarkStart w:id="5" w:name="d"/>
            <w:bookmarkEnd w:id="5"/>
          </w:p>
        </w:tc>
        <w:tc>
          <w:tcPr>
            <w:tcW w:w="3083" w:type="dxa"/>
            <w:vMerge/>
          </w:tcPr>
          <w:p w:rsidR="007E54EC" w:rsidRPr="00AA33A8" w:rsidRDefault="007E54EC">
            <w:pPr>
              <w:rPr>
                <w:rFonts w:ascii="Arial" w:hAnsi="Arial"/>
                <w:b/>
                <w:sz w:val="24"/>
                <w:szCs w:val="24"/>
              </w:rPr>
            </w:pPr>
          </w:p>
        </w:tc>
      </w:tr>
      <w:tr w:rsidR="009C5979" w:rsidRPr="00AA33A8">
        <w:trPr>
          <w:cantSplit/>
        </w:trPr>
        <w:tc>
          <w:tcPr>
            <w:tcW w:w="1458" w:type="dxa"/>
          </w:tcPr>
          <w:p w:rsidR="009C5979" w:rsidRPr="00AA33A8" w:rsidRDefault="009C5979">
            <w:pPr>
              <w:rPr>
                <w:rFonts w:ascii="Arial" w:hAnsi="Arial"/>
                <w:b/>
                <w:sz w:val="24"/>
                <w:szCs w:val="24"/>
              </w:rPr>
            </w:pPr>
            <w:r>
              <w:rPr>
                <w:rFonts w:ascii="Arial" w:hAnsi="Arial"/>
                <w:b/>
                <w:sz w:val="24"/>
                <w:szCs w:val="24"/>
              </w:rPr>
              <w:t>Date</w:t>
            </w:r>
          </w:p>
        </w:tc>
        <w:tc>
          <w:tcPr>
            <w:tcW w:w="5490" w:type="dxa"/>
          </w:tcPr>
          <w:p w:rsidR="009C5979" w:rsidRPr="009C5979" w:rsidRDefault="00825BCE" w:rsidP="00AD7D34">
            <w:pPr>
              <w:rPr>
                <w:rFonts w:ascii="Arial" w:hAnsi="Arial"/>
                <w:sz w:val="24"/>
                <w:szCs w:val="24"/>
              </w:rPr>
            </w:pPr>
            <w:r>
              <w:rPr>
                <w:rFonts w:ascii="Arial" w:hAnsi="Arial"/>
                <w:sz w:val="24"/>
                <w:szCs w:val="24"/>
              </w:rPr>
              <w:t>30</w:t>
            </w:r>
            <w:r w:rsidRPr="00825BCE">
              <w:rPr>
                <w:rFonts w:ascii="Arial" w:hAnsi="Arial"/>
                <w:sz w:val="24"/>
                <w:szCs w:val="24"/>
                <w:vertAlign w:val="superscript"/>
              </w:rPr>
              <w:t>th</w:t>
            </w:r>
            <w:r>
              <w:rPr>
                <w:rFonts w:ascii="Arial" w:hAnsi="Arial"/>
                <w:sz w:val="24"/>
                <w:szCs w:val="24"/>
              </w:rPr>
              <w:t xml:space="preserve"> December 2014</w:t>
            </w:r>
          </w:p>
        </w:tc>
        <w:tc>
          <w:tcPr>
            <w:tcW w:w="3083" w:type="dxa"/>
            <w:vMerge/>
          </w:tcPr>
          <w:p w:rsidR="009C5979" w:rsidRPr="00AA33A8" w:rsidRDefault="009C5979">
            <w:pPr>
              <w:rPr>
                <w:rFonts w:ascii="Arial" w:hAnsi="Arial"/>
                <w:b/>
                <w:sz w:val="24"/>
                <w:szCs w:val="24"/>
              </w:rPr>
            </w:pPr>
          </w:p>
        </w:tc>
      </w:tr>
      <w:tr w:rsidR="007E54EC" w:rsidRPr="00825BCE">
        <w:trPr>
          <w:cantSplit/>
        </w:trPr>
        <w:tc>
          <w:tcPr>
            <w:tcW w:w="1458" w:type="dxa"/>
          </w:tcPr>
          <w:p w:rsidR="007E54EC" w:rsidRPr="00825BCE" w:rsidRDefault="007E54EC">
            <w:pPr>
              <w:rPr>
                <w:rFonts w:ascii="Arial" w:hAnsi="Arial"/>
                <w:b/>
                <w:sz w:val="24"/>
                <w:szCs w:val="24"/>
              </w:rPr>
            </w:pPr>
            <w:r w:rsidRPr="00825BCE">
              <w:rPr>
                <w:rFonts w:ascii="Arial" w:hAnsi="Arial"/>
                <w:b/>
                <w:sz w:val="24"/>
                <w:szCs w:val="24"/>
              </w:rPr>
              <w:t>E-Mail:</w:t>
            </w:r>
          </w:p>
        </w:tc>
        <w:bookmarkStart w:id="6" w:name="h"/>
        <w:bookmarkEnd w:id="6"/>
        <w:tc>
          <w:tcPr>
            <w:tcW w:w="5490" w:type="dxa"/>
          </w:tcPr>
          <w:p w:rsidR="00972419" w:rsidRPr="00825BCE" w:rsidRDefault="00825BCE" w:rsidP="002334C3">
            <w:pPr>
              <w:rPr>
                <w:rFonts w:ascii="Arial" w:hAnsi="Arial"/>
                <w:color w:val="0000FF"/>
                <w:sz w:val="24"/>
                <w:szCs w:val="24"/>
              </w:rPr>
            </w:pPr>
            <w:r>
              <w:rPr>
                <w:rFonts w:ascii="Arial" w:hAnsi="Arial"/>
                <w:color w:val="0000FF"/>
                <w:sz w:val="24"/>
                <w:szCs w:val="24"/>
              </w:rPr>
              <w:fldChar w:fldCharType="begin"/>
            </w:r>
            <w:r>
              <w:rPr>
                <w:rFonts w:ascii="Arial" w:hAnsi="Arial"/>
                <w:color w:val="0000FF"/>
                <w:sz w:val="24"/>
                <w:szCs w:val="24"/>
              </w:rPr>
              <w:instrText xml:space="preserve"> HYPERLINK "mailto:ben.woodhouse@nhs.net" </w:instrText>
            </w:r>
            <w:r>
              <w:rPr>
                <w:rFonts w:ascii="Arial" w:hAnsi="Arial"/>
                <w:color w:val="0000FF"/>
                <w:sz w:val="24"/>
                <w:szCs w:val="24"/>
              </w:rPr>
              <w:fldChar w:fldCharType="separate"/>
            </w:r>
            <w:r w:rsidRPr="000C31B3">
              <w:rPr>
                <w:rStyle w:val="Hyperlink"/>
                <w:rFonts w:ascii="Arial" w:hAnsi="Arial"/>
                <w:sz w:val="24"/>
                <w:szCs w:val="24"/>
              </w:rPr>
              <w:t>ben.woodhouse@nhs.net</w:t>
            </w:r>
            <w:r>
              <w:rPr>
                <w:rFonts w:ascii="Arial" w:hAnsi="Arial"/>
                <w:color w:val="0000FF"/>
                <w:sz w:val="24"/>
                <w:szCs w:val="24"/>
              </w:rPr>
              <w:fldChar w:fldCharType="end"/>
            </w:r>
            <w:r>
              <w:rPr>
                <w:rFonts w:ascii="Arial" w:hAnsi="Arial"/>
                <w:color w:val="0000FF"/>
                <w:sz w:val="24"/>
                <w:szCs w:val="24"/>
              </w:rPr>
              <w:t xml:space="preserve"> </w:t>
            </w:r>
          </w:p>
        </w:tc>
        <w:tc>
          <w:tcPr>
            <w:tcW w:w="3083" w:type="dxa"/>
            <w:vMerge/>
          </w:tcPr>
          <w:p w:rsidR="007E54EC" w:rsidRPr="00825BCE" w:rsidRDefault="007E54EC">
            <w:pPr>
              <w:rPr>
                <w:rFonts w:ascii="Arial" w:hAnsi="Arial"/>
                <w:b/>
                <w:sz w:val="24"/>
                <w:szCs w:val="24"/>
              </w:rPr>
            </w:pPr>
          </w:p>
        </w:tc>
      </w:tr>
    </w:tbl>
    <w:p w:rsidR="00AD7D34" w:rsidRPr="00825BCE" w:rsidRDefault="00AD7D34" w:rsidP="00A50C57">
      <w:pPr>
        <w:jc w:val="both"/>
        <w:rPr>
          <w:rFonts w:ascii="Arial" w:hAnsi="Arial" w:cs="Arial"/>
          <w:sz w:val="24"/>
          <w:szCs w:val="24"/>
        </w:rPr>
      </w:pPr>
    </w:p>
    <w:p w:rsidR="00B57580" w:rsidRPr="00825BCE" w:rsidRDefault="00B57580" w:rsidP="00A50C57">
      <w:pPr>
        <w:jc w:val="both"/>
        <w:rPr>
          <w:rFonts w:ascii="Arial" w:hAnsi="Arial" w:cs="Arial"/>
          <w:sz w:val="24"/>
          <w:szCs w:val="24"/>
        </w:rPr>
      </w:pPr>
    </w:p>
    <w:p w:rsidR="00825BCE" w:rsidRDefault="00825BCE" w:rsidP="00825BCE">
      <w:pPr>
        <w:rPr>
          <w:rFonts w:ascii="Arial" w:hAnsi="Arial" w:cs="Arial"/>
          <w:b/>
          <w:sz w:val="24"/>
          <w:szCs w:val="24"/>
        </w:rPr>
      </w:pPr>
      <w:r w:rsidRPr="00825BCE">
        <w:rPr>
          <w:rFonts w:ascii="Arial" w:hAnsi="Arial" w:cs="Arial"/>
          <w:b/>
          <w:sz w:val="24"/>
          <w:szCs w:val="24"/>
        </w:rPr>
        <w:t>To:</w:t>
      </w:r>
      <w:r>
        <w:rPr>
          <w:rFonts w:ascii="Arial" w:hAnsi="Arial" w:cs="Arial"/>
          <w:b/>
          <w:sz w:val="24"/>
          <w:szCs w:val="24"/>
        </w:rPr>
        <w:t xml:space="preserve"> Bolton</w:t>
      </w:r>
      <w:r w:rsidRPr="00825BCE">
        <w:rPr>
          <w:rFonts w:ascii="Arial" w:hAnsi="Arial" w:cs="Arial"/>
          <w:b/>
          <w:sz w:val="24"/>
          <w:szCs w:val="24"/>
        </w:rPr>
        <w:t xml:space="preserve"> Local Pharmaceutical Committee</w:t>
      </w:r>
    </w:p>
    <w:p w:rsidR="00825BCE" w:rsidRPr="00825BCE" w:rsidRDefault="00825BCE" w:rsidP="00825BCE">
      <w:pPr>
        <w:rPr>
          <w:rFonts w:ascii="Arial" w:hAnsi="Arial" w:cs="Arial"/>
          <w:b/>
          <w:sz w:val="24"/>
          <w:szCs w:val="24"/>
        </w:rPr>
      </w:pPr>
    </w:p>
    <w:p w:rsidR="00825BCE" w:rsidRPr="00825BCE" w:rsidRDefault="00825BCE" w:rsidP="00825BCE">
      <w:pPr>
        <w:pStyle w:val="Default"/>
      </w:pPr>
      <w:r w:rsidRPr="00825BCE">
        <w:t xml:space="preserve">Dear Colleague, </w:t>
      </w:r>
    </w:p>
    <w:p w:rsidR="00825BCE" w:rsidRPr="00825BCE" w:rsidRDefault="00825BCE" w:rsidP="00825BCE">
      <w:pPr>
        <w:pStyle w:val="Default"/>
      </w:pPr>
    </w:p>
    <w:p w:rsidR="00825BCE" w:rsidRPr="00825BCE" w:rsidRDefault="00825BCE" w:rsidP="00825BCE">
      <w:pPr>
        <w:pStyle w:val="Default"/>
        <w:jc w:val="both"/>
      </w:pPr>
      <w:r w:rsidRPr="00825BCE">
        <w:t xml:space="preserve">Each year, GP practices participate in a prescribing work programme in which the practice is asked to review certain areas of prescribing. Bolton CCG has an annual prescription volume growth which is amongst the highest in Greater Manchester. Many local practices have expressed concerns with ordering of repeat prescriptions and this area will be a key focus of attention during 2015-2016. The CCG Medicines Optimisation Team will be supporting the introduction and where appropriate, review of practice repeat prescription processes. This includes repeat prescription requests from patients, their representatives and community pharmacies. </w:t>
      </w:r>
    </w:p>
    <w:p w:rsidR="00825BCE" w:rsidRPr="00825BCE" w:rsidRDefault="00825BCE" w:rsidP="00825BCE">
      <w:pPr>
        <w:pStyle w:val="Default"/>
        <w:jc w:val="both"/>
      </w:pPr>
    </w:p>
    <w:p w:rsidR="00825BCE" w:rsidRPr="00825BCE" w:rsidRDefault="00825BCE" w:rsidP="00825BCE">
      <w:pPr>
        <w:pStyle w:val="Default"/>
        <w:jc w:val="both"/>
      </w:pPr>
      <w:r w:rsidRPr="00825BCE">
        <w:t>We are aware</w:t>
      </w:r>
      <w:r w:rsidR="00884688">
        <w:t xml:space="preserve"> that many community pharmacies</w:t>
      </w:r>
      <w:r w:rsidRPr="00825BCE">
        <w:t xml:space="preserve"> are diligent in contacting patients to ascertain their requirements within seven days of o</w:t>
      </w:r>
      <w:r w:rsidR="00884688">
        <w:t>rdering their next prescription. H</w:t>
      </w:r>
      <w:r w:rsidRPr="00825BCE">
        <w:t>owe</w:t>
      </w:r>
      <w:r w:rsidR="00901FA0">
        <w:t>ver there are several pharmacie</w:t>
      </w:r>
      <w:r w:rsidRPr="00825BCE">
        <w:t>s who do not adopt this approach. This has led to patient complaints and a waste of resources. We do not feel tha</w:t>
      </w:r>
      <w:r w:rsidR="00901FA0">
        <w:t>t requiring community pharmacie</w:t>
      </w:r>
      <w:r w:rsidRPr="00825BCE">
        <w:t>s to contact patients within seven</w:t>
      </w:r>
      <w:r w:rsidR="00884688">
        <w:t xml:space="preserve"> working</w:t>
      </w:r>
      <w:r w:rsidRPr="00825BCE">
        <w:t xml:space="preserve"> days of ordering their prescription is unreasonable. </w:t>
      </w:r>
    </w:p>
    <w:p w:rsidR="00825BCE" w:rsidRPr="00825BCE" w:rsidRDefault="00825BCE" w:rsidP="00825BCE">
      <w:pPr>
        <w:pStyle w:val="Default"/>
        <w:jc w:val="both"/>
      </w:pPr>
    </w:p>
    <w:p w:rsidR="00825BCE" w:rsidRPr="00825BCE" w:rsidRDefault="00825BCE" w:rsidP="00825BCE">
      <w:pPr>
        <w:pStyle w:val="Default"/>
        <w:jc w:val="both"/>
      </w:pPr>
      <w:r w:rsidRPr="00825BCE">
        <w:t xml:space="preserve">Practices are encouraged to co-operate with community pharmacists to improve service delivery to patients. However you may notice changes in the way that practices handle repeat prescription requests, including:- </w:t>
      </w:r>
    </w:p>
    <w:p w:rsidR="00825BCE" w:rsidRPr="00825BCE" w:rsidRDefault="00825BCE" w:rsidP="00825BCE">
      <w:pPr>
        <w:pStyle w:val="Default"/>
        <w:numPr>
          <w:ilvl w:val="0"/>
          <w:numId w:val="5"/>
        </w:numPr>
        <w:jc w:val="both"/>
      </w:pPr>
      <w:r w:rsidRPr="00825BCE">
        <w:t xml:space="preserve">Telephoned repeat prescription requests may not be accepted, except in exceptional circumstances </w:t>
      </w:r>
    </w:p>
    <w:p w:rsidR="00825BCE" w:rsidRPr="00825BCE" w:rsidRDefault="00825BCE" w:rsidP="00825BCE">
      <w:pPr>
        <w:pStyle w:val="Default"/>
        <w:numPr>
          <w:ilvl w:val="0"/>
          <w:numId w:val="5"/>
        </w:numPr>
        <w:jc w:val="both"/>
      </w:pPr>
      <w:r w:rsidRPr="00825BCE">
        <w:t>All repeat prescription req</w:t>
      </w:r>
      <w:r w:rsidR="00884688">
        <w:t>uests from community pharmacies</w:t>
      </w:r>
      <w:r w:rsidRPr="00825BCE">
        <w:t xml:space="preserve"> must be stamped and signed by the community pharmacist</w:t>
      </w:r>
      <w:r w:rsidR="00884688">
        <w:t>,</w:t>
      </w:r>
      <w:r w:rsidR="00B52BF8">
        <w:t xml:space="preserve"> pharmacy technician</w:t>
      </w:r>
      <w:r w:rsidR="00884688">
        <w:t xml:space="preserve"> or dispensing staff</w:t>
      </w:r>
      <w:r w:rsidR="008C2F51">
        <w:t xml:space="preserve"> with their GPHC</w:t>
      </w:r>
      <w:r w:rsidR="00B52BF8">
        <w:t xml:space="preserve"> registration</w:t>
      </w:r>
      <w:r w:rsidR="008C2F51">
        <w:t xml:space="preserve"> number</w:t>
      </w:r>
      <w:r w:rsidR="00884688">
        <w:t xml:space="preserve"> (if applicable)</w:t>
      </w:r>
      <w:r w:rsidRPr="00825BCE">
        <w:t xml:space="preserve"> to confirm that the patient has been contacted within the past 7</w:t>
      </w:r>
      <w:r w:rsidR="00884688">
        <w:t xml:space="preserve"> working</w:t>
      </w:r>
      <w:r w:rsidRPr="00825BCE">
        <w:t xml:space="preserve"> days and requires the medicines requested. Otherwise the request will not be accepted. Faxed copies will be accepted with the required confirmation. </w:t>
      </w:r>
    </w:p>
    <w:p w:rsidR="00825BCE" w:rsidRPr="00825BCE" w:rsidRDefault="00825BCE" w:rsidP="00825BCE">
      <w:pPr>
        <w:pStyle w:val="Default"/>
        <w:numPr>
          <w:ilvl w:val="0"/>
          <w:numId w:val="5"/>
        </w:numPr>
        <w:spacing w:after="45"/>
        <w:jc w:val="both"/>
        <w:rPr>
          <w:color w:val="auto"/>
        </w:rPr>
      </w:pPr>
      <w:r w:rsidRPr="00825BCE">
        <w:rPr>
          <w:color w:val="auto"/>
        </w:rPr>
        <w:t xml:space="preserve">Should any inappropriate repeat prescription ordering be identified the practice will </w:t>
      </w:r>
      <w:r w:rsidR="00884688">
        <w:rPr>
          <w:color w:val="auto"/>
        </w:rPr>
        <w:t>contact the community pharmacy</w:t>
      </w:r>
      <w:r w:rsidRPr="00825BCE">
        <w:rPr>
          <w:color w:val="auto"/>
        </w:rPr>
        <w:t xml:space="preserve"> on each occasion and identify the inciden</w:t>
      </w:r>
      <w:r w:rsidR="00884688">
        <w:rPr>
          <w:color w:val="auto"/>
        </w:rPr>
        <w:t>t for the community pharmacies’</w:t>
      </w:r>
      <w:r w:rsidRPr="00825BCE">
        <w:rPr>
          <w:color w:val="auto"/>
        </w:rPr>
        <w:t xml:space="preserve"> records. </w:t>
      </w:r>
    </w:p>
    <w:p w:rsidR="00825BCE" w:rsidRPr="00825BCE" w:rsidRDefault="00825BCE" w:rsidP="00825BCE">
      <w:pPr>
        <w:pStyle w:val="Default"/>
        <w:numPr>
          <w:ilvl w:val="0"/>
          <w:numId w:val="5"/>
        </w:numPr>
        <w:jc w:val="both"/>
        <w:rPr>
          <w:color w:val="auto"/>
        </w:rPr>
      </w:pPr>
      <w:r w:rsidRPr="00825BCE">
        <w:rPr>
          <w:color w:val="auto"/>
        </w:rPr>
        <w:t xml:space="preserve">Where any three episodes of inappropriate prescription re-ordering by a community pharmacy (to include loss of prescriptions and requests for duplicates) have been identified over a period of 3 months, the practice will inform the CCG Medicines Optimisation Team. These three episodes will be </w:t>
      </w:r>
      <w:r w:rsidRPr="00825BCE">
        <w:rPr>
          <w:color w:val="auto"/>
        </w:rPr>
        <w:lastRenderedPageBreak/>
        <w:t xml:space="preserve">reviewed at a practice meeting with representatives from the practice, CCG Medicines Optimisation Team, the community pharmacy and an LPC representative to discuss any appropriate action. </w:t>
      </w:r>
    </w:p>
    <w:p w:rsidR="00825BCE" w:rsidRPr="00825BCE" w:rsidRDefault="00825BCE" w:rsidP="00825BCE">
      <w:pPr>
        <w:pStyle w:val="Default"/>
        <w:numPr>
          <w:ilvl w:val="0"/>
          <w:numId w:val="5"/>
        </w:numPr>
        <w:jc w:val="both"/>
        <w:rPr>
          <w:color w:val="auto"/>
        </w:rPr>
      </w:pPr>
      <w:r w:rsidRPr="00825BCE">
        <w:rPr>
          <w:color w:val="auto"/>
        </w:rPr>
        <w:t xml:space="preserve">Should further episodes of inappropriate prescription reordering be identified, then the practice may consider the option of refusal to accept prescription re-ordering from that particular pharmacy. However, the community pharmacy may still offer to collect and deliver prescriptions on behalf of patients. </w:t>
      </w:r>
    </w:p>
    <w:p w:rsidR="00825BCE" w:rsidRPr="00825BCE" w:rsidRDefault="00825BCE" w:rsidP="00825BCE">
      <w:pPr>
        <w:pStyle w:val="Default"/>
        <w:ind w:left="720"/>
        <w:rPr>
          <w:color w:val="auto"/>
        </w:rPr>
      </w:pPr>
    </w:p>
    <w:p w:rsidR="00825BCE" w:rsidRPr="00825BCE" w:rsidRDefault="00825BCE" w:rsidP="00825BCE">
      <w:pPr>
        <w:pStyle w:val="Default"/>
        <w:jc w:val="both"/>
        <w:rPr>
          <w:color w:val="auto"/>
        </w:rPr>
      </w:pPr>
      <w:r w:rsidRPr="00825BCE">
        <w:rPr>
          <w:color w:val="auto"/>
        </w:rPr>
        <w:t>The above criteria have been approved by the CCG at December’s Executive Committee meeting. The Committee highlighted the benefits to p</w:t>
      </w:r>
      <w:r w:rsidR="00884688">
        <w:rPr>
          <w:color w:val="auto"/>
        </w:rPr>
        <w:t>atients of community pharmacy</w:t>
      </w:r>
      <w:r w:rsidRPr="00825BCE">
        <w:rPr>
          <w:color w:val="auto"/>
        </w:rPr>
        <w:t xml:space="preserve"> ordering on their behalf. Nonetheless, the issue of waste medication remains a significant clinical risk and cost burden to the NHS. Our intention is to monitor the proposed system for quality, safety and the reduction of waste. If no significant improvement occurs, the Executive Committee will move to a system where Pharmacy requests for prescriptions are not accepted by GP practices.</w:t>
      </w:r>
    </w:p>
    <w:p w:rsidR="00825BCE" w:rsidRPr="00825BCE" w:rsidRDefault="00825BCE" w:rsidP="00825BCE">
      <w:pPr>
        <w:pStyle w:val="Default"/>
        <w:jc w:val="both"/>
        <w:rPr>
          <w:color w:val="auto"/>
        </w:rPr>
      </w:pPr>
    </w:p>
    <w:p w:rsidR="00825BCE" w:rsidRPr="00825BCE" w:rsidRDefault="00825BCE" w:rsidP="00825BCE">
      <w:pPr>
        <w:pStyle w:val="Default"/>
        <w:jc w:val="both"/>
        <w:rPr>
          <w:color w:val="auto"/>
        </w:rPr>
      </w:pPr>
      <w:r w:rsidRPr="00825BCE">
        <w:rPr>
          <w:color w:val="auto"/>
        </w:rPr>
        <w:t xml:space="preserve">May we take this opportunity to thank our community pharmacist colleagues through this challenging </w:t>
      </w:r>
      <w:proofErr w:type="gramStart"/>
      <w:r w:rsidRPr="00825BCE">
        <w:rPr>
          <w:color w:val="auto"/>
        </w:rPr>
        <w:t>period.</w:t>
      </w:r>
      <w:proofErr w:type="gramEnd"/>
      <w:r w:rsidRPr="00825BCE">
        <w:rPr>
          <w:color w:val="auto"/>
        </w:rPr>
        <w:t xml:space="preserve"> If local pharmacists have specific questions related to the on</w:t>
      </w:r>
      <w:r w:rsidRPr="00825BCE">
        <w:t>-</w:t>
      </w:r>
      <w:r w:rsidRPr="00825BCE">
        <w:rPr>
          <w:color w:val="auto"/>
        </w:rPr>
        <w:t xml:space="preserve">going work of the CCG Medicines Optimisation Team, please </w:t>
      </w:r>
      <w:r w:rsidR="00DC5172">
        <w:rPr>
          <w:color w:val="auto"/>
        </w:rPr>
        <w:t>contact them on 01204 462125</w:t>
      </w:r>
      <w:r w:rsidRPr="00825BCE">
        <w:rPr>
          <w:color w:val="auto"/>
        </w:rPr>
        <w:t>.</w:t>
      </w:r>
    </w:p>
    <w:p w:rsidR="00825BCE" w:rsidRPr="00825BCE" w:rsidRDefault="00825BCE" w:rsidP="00825BCE">
      <w:pPr>
        <w:pStyle w:val="Default"/>
        <w:jc w:val="both"/>
        <w:rPr>
          <w:color w:val="auto"/>
        </w:rPr>
      </w:pPr>
    </w:p>
    <w:p w:rsidR="00825BCE" w:rsidRPr="00825BCE" w:rsidRDefault="00825BCE" w:rsidP="00825BCE">
      <w:pPr>
        <w:pStyle w:val="Default"/>
        <w:jc w:val="both"/>
        <w:rPr>
          <w:color w:val="auto"/>
        </w:rPr>
      </w:pPr>
      <w:r w:rsidRPr="00825BCE">
        <w:rPr>
          <w:color w:val="auto"/>
        </w:rPr>
        <w:t>Yours faithfully,</w:t>
      </w:r>
    </w:p>
    <w:p w:rsidR="00825BCE" w:rsidRPr="00825BCE" w:rsidRDefault="00825BCE" w:rsidP="00825BCE">
      <w:pPr>
        <w:pStyle w:val="Default"/>
        <w:jc w:val="both"/>
        <w:rPr>
          <w:color w:val="auto"/>
        </w:rPr>
      </w:pPr>
    </w:p>
    <w:p w:rsidR="00825BCE" w:rsidRPr="00825BCE" w:rsidRDefault="00825BCE" w:rsidP="00825BCE">
      <w:pPr>
        <w:pStyle w:val="Default"/>
        <w:jc w:val="both"/>
        <w:rPr>
          <w:color w:val="auto"/>
        </w:rPr>
      </w:pPr>
    </w:p>
    <w:p w:rsidR="00825BCE" w:rsidRPr="00825BCE" w:rsidRDefault="00825BCE" w:rsidP="00825BCE">
      <w:pPr>
        <w:pStyle w:val="Default"/>
        <w:jc w:val="both"/>
        <w:rPr>
          <w:color w:val="auto"/>
        </w:rPr>
      </w:pPr>
    </w:p>
    <w:p w:rsidR="00825BCE" w:rsidRPr="00825BCE" w:rsidRDefault="00825BCE" w:rsidP="00825BCE">
      <w:pPr>
        <w:pStyle w:val="Default"/>
        <w:jc w:val="both"/>
        <w:rPr>
          <w:color w:val="auto"/>
        </w:rPr>
      </w:pPr>
    </w:p>
    <w:p w:rsidR="00825BCE" w:rsidRPr="00825BCE" w:rsidRDefault="00825BCE" w:rsidP="00825BCE">
      <w:pPr>
        <w:pStyle w:val="Default"/>
        <w:jc w:val="both"/>
        <w:rPr>
          <w:color w:val="auto"/>
        </w:rPr>
      </w:pPr>
    </w:p>
    <w:p w:rsidR="00825BCE" w:rsidRPr="00825BCE" w:rsidRDefault="00825BCE" w:rsidP="00825BCE">
      <w:pPr>
        <w:pStyle w:val="Default"/>
        <w:jc w:val="both"/>
        <w:rPr>
          <w:b/>
          <w:color w:val="auto"/>
        </w:rPr>
      </w:pPr>
      <w:proofErr w:type="spellStart"/>
      <w:r w:rsidRPr="00825BCE">
        <w:rPr>
          <w:b/>
          <w:color w:val="auto"/>
        </w:rPr>
        <w:t>Dr.</w:t>
      </w:r>
      <w:proofErr w:type="spellEnd"/>
      <w:r w:rsidRPr="00825BCE">
        <w:rPr>
          <w:b/>
          <w:color w:val="auto"/>
        </w:rPr>
        <w:t xml:space="preserve"> Stephen Liversedge</w:t>
      </w:r>
      <w:r w:rsidRPr="00825BCE">
        <w:rPr>
          <w:b/>
          <w:color w:val="auto"/>
        </w:rPr>
        <w:tab/>
      </w:r>
      <w:r w:rsidRPr="00825BCE">
        <w:rPr>
          <w:b/>
          <w:color w:val="auto"/>
        </w:rPr>
        <w:tab/>
      </w:r>
      <w:r w:rsidRPr="00825BCE">
        <w:rPr>
          <w:b/>
          <w:color w:val="auto"/>
        </w:rPr>
        <w:tab/>
      </w:r>
      <w:r w:rsidRPr="00825BCE">
        <w:rPr>
          <w:b/>
          <w:color w:val="auto"/>
        </w:rPr>
        <w:tab/>
        <w:t>Ben Woodhouse</w:t>
      </w:r>
    </w:p>
    <w:p w:rsidR="00825BCE" w:rsidRPr="00825BCE" w:rsidRDefault="00825BCE" w:rsidP="00825BCE">
      <w:pPr>
        <w:pStyle w:val="Default"/>
        <w:rPr>
          <w:b/>
          <w:color w:val="auto"/>
        </w:rPr>
      </w:pPr>
      <w:r w:rsidRPr="00825BCE">
        <w:rPr>
          <w:b/>
          <w:color w:val="auto"/>
        </w:rPr>
        <w:t>Clinical Director for Primary Care and</w:t>
      </w:r>
      <w:r w:rsidRPr="00825BCE">
        <w:rPr>
          <w:b/>
          <w:color w:val="auto"/>
        </w:rPr>
        <w:tab/>
      </w:r>
      <w:r w:rsidRPr="00825BCE">
        <w:rPr>
          <w:b/>
          <w:color w:val="auto"/>
        </w:rPr>
        <w:tab/>
        <w:t xml:space="preserve">Medicines Optimisation and </w:t>
      </w:r>
      <w:r w:rsidR="00650170">
        <w:rPr>
          <w:b/>
          <w:color w:val="auto"/>
        </w:rPr>
        <w:t xml:space="preserve">      </w:t>
      </w:r>
      <w:r>
        <w:rPr>
          <w:b/>
          <w:color w:val="auto"/>
        </w:rPr>
        <w:t>Health Improvement</w:t>
      </w:r>
      <w:r>
        <w:rPr>
          <w:b/>
          <w:color w:val="auto"/>
        </w:rPr>
        <w:tab/>
      </w:r>
      <w:r w:rsidR="00650170">
        <w:rPr>
          <w:b/>
          <w:color w:val="auto"/>
        </w:rPr>
        <w:tab/>
      </w:r>
      <w:r w:rsidR="00650170">
        <w:rPr>
          <w:b/>
          <w:color w:val="auto"/>
        </w:rPr>
        <w:tab/>
      </w:r>
      <w:r w:rsidR="00650170">
        <w:rPr>
          <w:b/>
          <w:color w:val="auto"/>
        </w:rPr>
        <w:tab/>
      </w:r>
      <w:r w:rsidR="00650170" w:rsidRPr="00825BCE">
        <w:rPr>
          <w:b/>
          <w:color w:val="auto"/>
        </w:rPr>
        <w:t>Prescribing</w:t>
      </w:r>
      <w:r>
        <w:rPr>
          <w:b/>
          <w:color w:val="auto"/>
        </w:rPr>
        <w:tab/>
      </w:r>
      <w:r w:rsidRPr="00825BCE">
        <w:rPr>
          <w:b/>
          <w:color w:val="auto"/>
        </w:rPr>
        <w:t>Lead</w:t>
      </w:r>
    </w:p>
    <w:p w:rsidR="00B57580" w:rsidRPr="00825BCE" w:rsidRDefault="00B57580" w:rsidP="00A50C57">
      <w:pPr>
        <w:jc w:val="both"/>
        <w:rPr>
          <w:rFonts w:ascii="Arial" w:hAnsi="Arial" w:cs="Arial"/>
          <w:sz w:val="24"/>
          <w:szCs w:val="24"/>
        </w:rPr>
      </w:pPr>
    </w:p>
    <w:sectPr w:rsidR="00B57580" w:rsidRPr="00825BCE" w:rsidSect="00D80435">
      <w:footerReference w:type="default" r:id="rId10"/>
      <w:type w:val="continuous"/>
      <w:pgSz w:w="11909" w:h="16834"/>
      <w:pgMar w:top="1440" w:right="1440" w:bottom="720" w:left="1296" w:header="706" w:footer="70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D7" w:rsidRDefault="00690DD7">
      <w:r>
        <w:separator/>
      </w:r>
    </w:p>
  </w:endnote>
  <w:endnote w:type="continuationSeparator" w:id="0">
    <w:p w:rsidR="00690DD7" w:rsidRDefault="0069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9923"/>
    </w:tblGrid>
    <w:tr w:rsidR="003B76AA">
      <w:tc>
        <w:tcPr>
          <w:tcW w:w="9923" w:type="dxa"/>
        </w:tcPr>
        <w:p w:rsidR="00FE6530" w:rsidRPr="00FE6530" w:rsidRDefault="00FE6530" w:rsidP="00FE6530">
          <w:pPr>
            <w:pStyle w:val="Footer"/>
            <w:jc w:val="center"/>
            <w:rPr>
              <w:rFonts w:ascii="Arial" w:hAnsi="Arial" w:cs="Arial"/>
              <w:color w:val="004F8A"/>
              <w:szCs w:val="24"/>
            </w:rPr>
          </w:pPr>
          <w:r w:rsidRPr="00FE6530">
            <w:rPr>
              <w:rFonts w:ascii="Arial" w:hAnsi="Arial" w:cs="Arial"/>
              <w:color w:val="004F8A"/>
              <w:szCs w:val="24"/>
            </w:rPr>
            <w:t>Tackling the Issues that affect the health of the town</w:t>
          </w:r>
        </w:p>
        <w:p w:rsidR="00FE6530" w:rsidRPr="00FE6530" w:rsidRDefault="00FE6530" w:rsidP="00FE6530">
          <w:pPr>
            <w:pStyle w:val="Footer"/>
            <w:jc w:val="center"/>
            <w:rPr>
              <w:rFonts w:ascii="Arial" w:hAnsi="Arial" w:cs="Arial"/>
              <w:b/>
              <w:color w:val="004F8A"/>
              <w:szCs w:val="24"/>
            </w:rPr>
          </w:pPr>
          <w:r w:rsidRPr="00FE6530">
            <w:rPr>
              <w:rFonts w:ascii="Arial" w:hAnsi="Arial" w:cs="Arial"/>
              <w:b/>
              <w:color w:val="004F8A"/>
              <w:szCs w:val="24"/>
            </w:rPr>
            <w:t>“HFMA – Best New Organisation 2013”</w:t>
          </w:r>
        </w:p>
        <w:p w:rsidR="00FE6530" w:rsidRPr="00FE6530" w:rsidRDefault="00FE6530" w:rsidP="00FE6530">
          <w:pPr>
            <w:pStyle w:val="Footer"/>
          </w:pPr>
        </w:p>
        <w:p w:rsidR="003B76AA" w:rsidRPr="00FE6530" w:rsidRDefault="003B76AA">
          <w:pPr>
            <w:pStyle w:val="Footer"/>
            <w:jc w:val="center"/>
            <w:rPr>
              <w:rFonts w:ascii="Arial" w:hAnsi="Arial"/>
            </w:rPr>
          </w:pPr>
        </w:p>
      </w:tc>
    </w:tr>
  </w:tbl>
  <w:p w:rsidR="003B76AA" w:rsidRDefault="003B76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54"/>
      <w:gridCol w:w="5054"/>
    </w:tblGrid>
    <w:tr w:rsidR="003B76AA">
      <w:tc>
        <w:tcPr>
          <w:tcW w:w="5054" w:type="dxa"/>
        </w:tcPr>
        <w:p w:rsidR="003B76AA" w:rsidRDefault="003B76AA">
          <w:pPr>
            <w:pStyle w:val="Footer"/>
            <w:rPr>
              <w:rFonts w:ascii="Arial" w:hAnsi="Arial"/>
              <w:sz w:val="16"/>
            </w:rPr>
          </w:pPr>
        </w:p>
      </w:tc>
      <w:tc>
        <w:tcPr>
          <w:tcW w:w="5054" w:type="dxa"/>
        </w:tcPr>
        <w:p w:rsidR="003B76AA" w:rsidRDefault="003B76AA">
          <w:pPr>
            <w:pStyle w:val="Footer"/>
            <w:jc w:val="right"/>
            <w:rPr>
              <w:rFonts w:ascii="Arial" w:hAnsi="Arial"/>
              <w:sz w:val="16"/>
            </w:rPr>
          </w:pPr>
        </w:p>
      </w:tc>
    </w:tr>
  </w:tbl>
  <w:p w:rsidR="003B76AA" w:rsidRDefault="003B76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D7" w:rsidRDefault="00690DD7">
      <w:r>
        <w:separator/>
      </w:r>
    </w:p>
  </w:footnote>
  <w:footnote w:type="continuationSeparator" w:id="0">
    <w:p w:rsidR="00690DD7" w:rsidRDefault="00690D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0478"/>
    <w:multiLevelType w:val="hybridMultilevel"/>
    <w:tmpl w:val="076E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E0C7E"/>
    <w:multiLevelType w:val="hybridMultilevel"/>
    <w:tmpl w:val="CD4C53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C771A80"/>
    <w:multiLevelType w:val="hybridMultilevel"/>
    <w:tmpl w:val="167298F8"/>
    <w:lvl w:ilvl="0" w:tplc="EDF8D49C">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nsid w:val="748B4A37"/>
    <w:multiLevelType w:val="hybridMultilevel"/>
    <w:tmpl w:val="E774007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49"/>
    <w:rsid w:val="00012444"/>
    <w:rsid w:val="00043BA7"/>
    <w:rsid w:val="00073609"/>
    <w:rsid w:val="0007429D"/>
    <w:rsid w:val="00085A41"/>
    <w:rsid w:val="00097052"/>
    <w:rsid w:val="000A02D0"/>
    <w:rsid w:val="000A29B4"/>
    <w:rsid w:val="000A3F44"/>
    <w:rsid w:val="000B275B"/>
    <w:rsid w:val="000B676A"/>
    <w:rsid w:val="000C74FD"/>
    <w:rsid w:val="00132544"/>
    <w:rsid w:val="001519A3"/>
    <w:rsid w:val="0016542B"/>
    <w:rsid w:val="001B172D"/>
    <w:rsid w:val="001B5EDC"/>
    <w:rsid w:val="001C5FB2"/>
    <w:rsid w:val="001D43BC"/>
    <w:rsid w:val="001E1AEC"/>
    <w:rsid w:val="001E4BBE"/>
    <w:rsid w:val="00212C2E"/>
    <w:rsid w:val="00231EF8"/>
    <w:rsid w:val="002334C3"/>
    <w:rsid w:val="00233BF1"/>
    <w:rsid w:val="00261C32"/>
    <w:rsid w:val="0026499D"/>
    <w:rsid w:val="00276241"/>
    <w:rsid w:val="00286B5B"/>
    <w:rsid w:val="0028727B"/>
    <w:rsid w:val="00296970"/>
    <w:rsid w:val="002A23B7"/>
    <w:rsid w:val="002A6249"/>
    <w:rsid w:val="002C70FD"/>
    <w:rsid w:val="002D6671"/>
    <w:rsid w:val="003129D2"/>
    <w:rsid w:val="003338ED"/>
    <w:rsid w:val="00344951"/>
    <w:rsid w:val="003720F3"/>
    <w:rsid w:val="003A6427"/>
    <w:rsid w:val="003B1F18"/>
    <w:rsid w:val="003B69B1"/>
    <w:rsid w:val="003B76AA"/>
    <w:rsid w:val="003C5B32"/>
    <w:rsid w:val="003D53FA"/>
    <w:rsid w:val="003E047A"/>
    <w:rsid w:val="003E0650"/>
    <w:rsid w:val="004053B8"/>
    <w:rsid w:val="0044512F"/>
    <w:rsid w:val="004464C4"/>
    <w:rsid w:val="00452B93"/>
    <w:rsid w:val="004545A4"/>
    <w:rsid w:val="00456103"/>
    <w:rsid w:val="00461810"/>
    <w:rsid w:val="00483E1D"/>
    <w:rsid w:val="004842F4"/>
    <w:rsid w:val="004B0B24"/>
    <w:rsid w:val="004B73A0"/>
    <w:rsid w:val="004D7478"/>
    <w:rsid w:val="004E6296"/>
    <w:rsid w:val="00533DBD"/>
    <w:rsid w:val="005420B8"/>
    <w:rsid w:val="00552C0D"/>
    <w:rsid w:val="005614E4"/>
    <w:rsid w:val="005853CE"/>
    <w:rsid w:val="005936B8"/>
    <w:rsid w:val="00594791"/>
    <w:rsid w:val="00597775"/>
    <w:rsid w:val="005B0223"/>
    <w:rsid w:val="00631B70"/>
    <w:rsid w:val="00650170"/>
    <w:rsid w:val="00683108"/>
    <w:rsid w:val="00690DD7"/>
    <w:rsid w:val="0069763D"/>
    <w:rsid w:val="006B191D"/>
    <w:rsid w:val="006B40A2"/>
    <w:rsid w:val="006B42D4"/>
    <w:rsid w:val="006C77C8"/>
    <w:rsid w:val="006E2104"/>
    <w:rsid w:val="00717E8D"/>
    <w:rsid w:val="00732FE5"/>
    <w:rsid w:val="00750049"/>
    <w:rsid w:val="00796C50"/>
    <w:rsid w:val="007B0CE5"/>
    <w:rsid w:val="007D0FAE"/>
    <w:rsid w:val="007E54EC"/>
    <w:rsid w:val="0081103B"/>
    <w:rsid w:val="00824B76"/>
    <w:rsid w:val="008256D9"/>
    <w:rsid w:val="00825BCE"/>
    <w:rsid w:val="00826EC5"/>
    <w:rsid w:val="0082712F"/>
    <w:rsid w:val="00860EE1"/>
    <w:rsid w:val="00873F10"/>
    <w:rsid w:val="00884688"/>
    <w:rsid w:val="008A1F54"/>
    <w:rsid w:val="008A67B1"/>
    <w:rsid w:val="008C2F51"/>
    <w:rsid w:val="008E3931"/>
    <w:rsid w:val="00901FA0"/>
    <w:rsid w:val="0090586C"/>
    <w:rsid w:val="00926C11"/>
    <w:rsid w:val="0093055B"/>
    <w:rsid w:val="00932347"/>
    <w:rsid w:val="00932BCD"/>
    <w:rsid w:val="00941642"/>
    <w:rsid w:val="00972419"/>
    <w:rsid w:val="009A2112"/>
    <w:rsid w:val="009A3ED4"/>
    <w:rsid w:val="009A4443"/>
    <w:rsid w:val="009A6393"/>
    <w:rsid w:val="009B48B6"/>
    <w:rsid w:val="009C34B6"/>
    <w:rsid w:val="009C5979"/>
    <w:rsid w:val="009F3AEC"/>
    <w:rsid w:val="009F69D3"/>
    <w:rsid w:val="00A02954"/>
    <w:rsid w:val="00A06DB6"/>
    <w:rsid w:val="00A13DA2"/>
    <w:rsid w:val="00A20215"/>
    <w:rsid w:val="00A2100C"/>
    <w:rsid w:val="00A36092"/>
    <w:rsid w:val="00A50C57"/>
    <w:rsid w:val="00A70200"/>
    <w:rsid w:val="00A926DD"/>
    <w:rsid w:val="00A9414C"/>
    <w:rsid w:val="00AA1F90"/>
    <w:rsid w:val="00AA2DEB"/>
    <w:rsid w:val="00AA33A8"/>
    <w:rsid w:val="00AA447B"/>
    <w:rsid w:val="00AB702E"/>
    <w:rsid w:val="00AC1498"/>
    <w:rsid w:val="00AC23C9"/>
    <w:rsid w:val="00AC44C9"/>
    <w:rsid w:val="00AC671D"/>
    <w:rsid w:val="00AC6B8D"/>
    <w:rsid w:val="00AD52A5"/>
    <w:rsid w:val="00AD7D34"/>
    <w:rsid w:val="00AE6144"/>
    <w:rsid w:val="00AF2207"/>
    <w:rsid w:val="00B00CC7"/>
    <w:rsid w:val="00B0472A"/>
    <w:rsid w:val="00B0653B"/>
    <w:rsid w:val="00B10B4A"/>
    <w:rsid w:val="00B32C46"/>
    <w:rsid w:val="00B420FB"/>
    <w:rsid w:val="00B45236"/>
    <w:rsid w:val="00B45287"/>
    <w:rsid w:val="00B52BF8"/>
    <w:rsid w:val="00B57580"/>
    <w:rsid w:val="00B7274A"/>
    <w:rsid w:val="00BA53F1"/>
    <w:rsid w:val="00BD4FAD"/>
    <w:rsid w:val="00BF3452"/>
    <w:rsid w:val="00C05A55"/>
    <w:rsid w:val="00C138E2"/>
    <w:rsid w:val="00C247A1"/>
    <w:rsid w:val="00C3271F"/>
    <w:rsid w:val="00C34126"/>
    <w:rsid w:val="00C36034"/>
    <w:rsid w:val="00C43DF2"/>
    <w:rsid w:val="00C5445D"/>
    <w:rsid w:val="00C95CA6"/>
    <w:rsid w:val="00CA5436"/>
    <w:rsid w:val="00CC3100"/>
    <w:rsid w:val="00CE3554"/>
    <w:rsid w:val="00CE6977"/>
    <w:rsid w:val="00D17C11"/>
    <w:rsid w:val="00D3438B"/>
    <w:rsid w:val="00D3727C"/>
    <w:rsid w:val="00D43901"/>
    <w:rsid w:val="00D47F08"/>
    <w:rsid w:val="00D500B4"/>
    <w:rsid w:val="00D55E52"/>
    <w:rsid w:val="00D678CF"/>
    <w:rsid w:val="00D80435"/>
    <w:rsid w:val="00D853B1"/>
    <w:rsid w:val="00D857EA"/>
    <w:rsid w:val="00D955FD"/>
    <w:rsid w:val="00DB0DC7"/>
    <w:rsid w:val="00DB7189"/>
    <w:rsid w:val="00DC1183"/>
    <w:rsid w:val="00DC5172"/>
    <w:rsid w:val="00DC6581"/>
    <w:rsid w:val="00E26CCE"/>
    <w:rsid w:val="00E338F9"/>
    <w:rsid w:val="00E5795C"/>
    <w:rsid w:val="00E9171D"/>
    <w:rsid w:val="00EA4CBF"/>
    <w:rsid w:val="00EB1E7D"/>
    <w:rsid w:val="00EB4731"/>
    <w:rsid w:val="00EE514E"/>
    <w:rsid w:val="00EF054B"/>
    <w:rsid w:val="00EF2084"/>
    <w:rsid w:val="00F257FC"/>
    <w:rsid w:val="00F47E03"/>
    <w:rsid w:val="00F63DFC"/>
    <w:rsid w:val="00F94A61"/>
    <w:rsid w:val="00FB3CFC"/>
    <w:rsid w:val="00FE65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435"/>
    <w:rPr>
      <w:lang w:eastAsia="en-US"/>
    </w:rPr>
  </w:style>
  <w:style w:type="paragraph" w:styleId="Heading1">
    <w:name w:val="heading 1"/>
    <w:basedOn w:val="Normal"/>
    <w:next w:val="Normal"/>
    <w:qFormat/>
    <w:rsid w:val="00D80435"/>
    <w:pPr>
      <w:keepNext/>
      <w:autoSpaceDE w:val="0"/>
      <w:autoSpaceDN w:val="0"/>
      <w:adjustRightInd w:val="0"/>
      <w:outlineLvl w:val="0"/>
    </w:pPr>
    <w:rPr>
      <w:rFonts w:ascii="Arial" w:hAnsi="Arial" w:cs="Arial"/>
      <w:b/>
      <w:bCs/>
      <w:sz w:val="22"/>
      <w:lang w:val="en-US"/>
    </w:rPr>
  </w:style>
  <w:style w:type="paragraph" w:styleId="Heading5">
    <w:name w:val="heading 5"/>
    <w:basedOn w:val="Normal"/>
    <w:next w:val="Normal"/>
    <w:qFormat/>
    <w:rsid w:val="00D80435"/>
    <w:pPr>
      <w:keepNext/>
      <w:autoSpaceDE w:val="0"/>
      <w:autoSpaceDN w:val="0"/>
      <w:adjustRightInd w:val="0"/>
      <w:jc w:val="center"/>
      <w:outlineLvl w:val="4"/>
    </w:pPr>
    <w:rPr>
      <w:rFonts w:ascii="Arial" w:eastAsia="Arial Unicode MS" w:hAnsi="Arial" w:cs="Arial"/>
      <w:b/>
      <w:bCs/>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0435"/>
    <w:pPr>
      <w:tabs>
        <w:tab w:val="center" w:pos="4153"/>
        <w:tab w:val="right" w:pos="8306"/>
      </w:tabs>
    </w:pPr>
  </w:style>
  <w:style w:type="paragraph" w:styleId="Footer">
    <w:name w:val="footer"/>
    <w:basedOn w:val="Normal"/>
    <w:link w:val="FooterChar"/>
    <w:uiPriority w:val="99"/>
    <w:rsid w:val="00D80435"/>
    <w:pPr>
      <w:tabs>
        <w:tab w:val="center" w:pos="4153"/>
        <w:tab w:val="right" w:pos="8306"/>
      </w:tabs>
    </w:pPr>
  </w:style>
  <w:style w:type="paragraph" w:styleId="BodyText2">
    <w:name w:val="Body Text 2"/>
    <w:basedOn w:val="Normal"/>
    <w:rsid w:val="00D80435"/>
    <w:pPr>
      <w:autoSpaceDE w:val="0"/>
      <w:autoSpaceDN w:val="0"/>
      <w:adjustRightInd w:val="0"/>
      <w:jc w:val="both"/>
    </w:pPr>
    <w:rPr>
      <w:rFonts w:ascii="Arial" w:hAnsi="Arial" w:cs="Arial"/>
      <w:sz w:val="24"/>
      <w:lang w:val="en-US"/>
    </w:rPr>
  </w:style>
  <w:style w:type="character" w:styleId="Hyperlink">
    <w:name w:val="Hyperlink"/>
    <w:rsid w:val="00D80435"/>
    <w:rPr>
      <w:color w:val="0000FF"/>
      <w:u w:val="single"/>
    </w:rPr>
  </w:style>
  <w:style w:type="paragraph" w:styleId="BodyText3">
    <w:name w:val="Body Text 3"/>
    <w:basedOn w:val="Normal"/>
    <w:rsid w:val="00D80435"/>
    <w:pPr>
      <w:autoSpaceDE w:val="0"/>
      <w:autoSpaceDN w:val="0"/>
      <w:adjustRightInd w:val="0"/>
      <w:jc w:val="both"/>
    </w:pPr>
    <w:rPr>
      <w:rFonts w:ascii="Arial" w:hAnsi="Arial" w:cs="Arial"/>
      <w:sz w:val="22"/>
      <w:lang w:val="en-US"/>
    </w:rPr>
  </w:style>
  <w:style w:type="paragraph" w:styleId="BodyText">
    <w:name w:val="Body Text"/>
    <w:basedOn w:val="Normal"/>
    <w:rsid w:val="00D80435"/>
    <w:pPr>
      <w:autoSpaceDE w:val="0"/>
      <w:autoSpaceDN w:val="0"/>
      <w:adjustRightInd w:val="0"/>
    </w:pPr>
    <w:rPr>
      <w:rFonts w:ascii="Arial" w:hAnsi="Arial" w:cs="Arial"/>
      <w:sz w:val="22"/>
      <w:lang w:val="en-US"/>
    </w:rPr>
  </w:style>
  <w:style w:type="paragraph" w:styleId="BalloonText">
    <w:name w:val="Balloon Text"/>
    <w:basedOn w:val="Normal"/>
    <w:link w:val="BalloonTextChar"/>
    <w:rsid w:val="003A6427"/>
    <w:rPr>
      <w:rFonts w:ascii="Tahoma" w:hAnsi="Tahoma" w:cs="Tahoma"/>
      <w:sz w:val="16"/>
      <w:szCs w:val="16"/>
    </w:rPr>
  </w:style>
  <w:style w:type="character" w:customStyle="1" w:styleId="BalloonTextChar">
    <w:name w:val="Balloon Text Char"/>
    <w:link w:val="BalloonText"/>
    <w:rsid w:val="003A6427"/>
    <w:rPr>
      <w:rFonts w:ascii="Tahoma" w:hAnsi="Tahoma" w:cs="Tahoma"/>
      <w:sz w:val="16"/>
      <w:szCs w:val="16"/>
      <w:lang w:val="en-GB"/>
    </w:rPr>
  </w:style>
  <w:style w:type="paragraph" w:styleId="ListParagraph">
    <w:name w:val="List Paragraph"/>
    <w:basedOn w:val="Normal"/>
    <w:uiPriority w:val="34"/>
    <w:qFormat/>
    <w:rsid w:val="00A02954"/>
    <w:pPr>
      <w:ind w:left="720"/>
    </w:pPr>
    <w:rPr>
      <w:rFonts w:ascii="Calibri" w:hAnsi="Calibri"/>
      <w:sz w:val="22"/>
      <w:szCs w:val="22"/>
      <w:lang w:eastAsia="en-GB"/>
    </w:rPr>
  </w:style>
  <w:style w:type="character" w:customStyle="1" w:styleId="FooterChar">
    <w:name w:val="Footer Char"/>
    <w:link w:val="Footer"/>
    <w:uiPriority w:val="99"/>
    <w:rsid w:val="00FE6530"/>
    <w:rPr>
      <w:lang w:eastAsia="en-US"/>
    </w:rPr>
  </w:style>
  <w:style w:type="table" w:styleId="TableGrid">
    <w:name w:val="Table Grid"/>
    <w:basedOn w:val="TableNormal"/>
    <w:uiPriority w:val="59"/>
    <w:rsid w:val="00AC23C9"/>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7241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72419"/>
    <w:rPr>
      <w:rFonts w:ascii="Consolas" w:eastAsiaTheme="minorHAnsi" w:hAnsi="Consolas" w:cstheme="minorBidi"/>
      <w:sz w:val="21"/>
      <w:szCs w:val="21"/>
      <w:lang w:eastAsia="en-US"/>
    </w:rPr>
  </w:style>
  <w:style w:type="paragraph" w:customStyle="1" w:styleId="Default">
    <w:name w:val="Default"/>
    <w:rsid w:val="00825BCE"/>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435"/>
    <w:rPr>
      <w:lang w:eastAsia="en-US"/>
    </w:rPr>
  </w:style>
  <w:style w:type="paragraph" w:styleId="Heading1">
    <w:name w:val="heading 1"/>
    <w:basedOn w:val="Normal"/>
    <w:next w:val="Normal"/>
    <w:qFormat/>
    <w:rsid w:val="00D80435"/>
    <w:pPr>
      <w:keepNext/>
      <w:autoSpaceDE w:val="0"/>
      <w:autoSpaceDN w:val="0"/>
      <w:adjustRightInd w:val="0"/>
      <w:outlineLvl w:val="0"/>
    </w:pPr>
    <w:rPr>
      <w:rFonts w:ascii="Arial" w:hAnsi="Arial" w:cs="Arial"/>
      <w:b/>
      <w:bCs/>
      <w:sz w:val="22"/>
      <w:lang w:val="en-US"/>
    </w:rPr>
  </w:style>
  <w:style w:type="paragraph" w:styleId="Heading5">
    <w:name w:val="heading 5"/>
    <w:basedOn w:val="Normal"/>
    <w:next w:val="Normal"/>
    <w:qFormat/>
    <w:rsid w:val="00D80435"/>
    <w:pPr>
      <w:keepNext/>
      <w:autoSpaceDE w:val="0"/>
      <w:autoSpaceDN w:val="0"/>
      <w:adjustRightInd w:val="0"/>
      <w:jc w:val="center"/>
      <w:outlineLvl w:val="4"/>
    </w:pPr>
    <w:rPr>
      <w:rFonts w:ascii="Arial" w:eastAsia="Arial Unicode MS" w:hAnsi="Arial" w:cs="Arial"/>
      <w:b/>
      <w:bCs/>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0435"/>
    <w:pPr>
      <w:tabs>
        <w:tab w:val="center" w:pos="4153"/>
        <w:tab w:val="right" w:pos="8306"/>
      </w:tabs>
    </w:pPr>
  </w:style>
  <w:style w:type="paragraph" w:styleId="Footer">
    <w:name w:val="footer"/>
    <w:basedOn w:val="Normal"/>
    <w:link w:val="FooterChar"/>
    <w:uiPriority w:val="99"/>
    <w:rsid w:val="00D80435"/>
    <w:pPr>
      <w:tabs>
        <w:tab w:val="center" w:pos="4153"/>
        <w:tab w:val="right" w:pos="8306"/>
      </w:tabs>
    </w:pPr>
  </w:style>
  <w:style w:type="paragraph" w:styleId="BodyText2">
    <w:name w:val="Body Text 2"/>
    <w:basedOn w:val="Normal"/>
    <w:rsid w:val="00D80435"/>
    <w:pPr>
      <w:autoSpaceDE w:val="0"/>
      <w:autoSpaceDN w:val="0"/>
      <w:adjustRightInd w:val="0"/>
      <w:jc w:val="both"/>
    </w:pPr>
    <w:rPr>
      <w:rFonts w:ascii="Arial" w:hAnsi="Arial" w:cs="Arial"/>
      <w:sz w:val="24"/>
      <w:lang w:val="en-US"/>
    </w:rPr>
  </w:style>
  <w:style w:type="character" w:styleId="Hyperlink">
    <w:name w:val="Hyperlink"/>
    <w:rsid w:val="00D80435"/>
    <w:rPr>
      <w:color w:val="0000FF"/>
      <w:u w:val="single"/>
    </w:rPr>
  </w:style>
  <w:style w:type="paragraph" w:styleId="BodyText3">
    <w:name w:val="Body Text 3"/>
    <w:basedOn w:val="Normal"/>
    <w:rsid w:val="00D80435"/>
    <w:pPr>
      <w:autoSpaceDE w:val="0"/>
      <w:autoSpaceDN w:val="0"/>
      <w:adjustRightInd w:val="0"/>
      <w:jc w:val="both"/>
    </w:pPr>
    <w:rPr>
      <w:rFonts w:ascii="Arial" w:hAnsi="Arial" w:cs="Arial"/>
      <w:sz w:val="22"/>
      <w:lang w:val="en-US"/>
    </w:rPr>
  </w:style>
  <w:style w:type="paragraph" w:styleId="BodyText">
    <w:name w:val="Body Text"/>
    <w:basedOn w:val="Normal"/>
    <w:rsid w:val="00D80435"/>
    <w:pPr>
      <w:autoSpaceDE w:val="0"/>
      <w:autoSpaceDN w:val="0"/>
      <w:adjustRightInd w:val="0"/>
    </w:pPr>
    <w:rPr>
      <w:rFonts w:ascii="Arial" w:hAnsi="Arial" w:cs="Arial"/>
      <w:sz w:val="22"/>
      <w:lang w:val="en-US"/>
    </w:rPr>
  </w:style>
  <w:style w:type="paragraph" w:styleId="BalloonText">
    <w:name w:val="Balloon Text"/>
    <w:basedOn w:val="Normal"/>
    <w:link w:val="BalloonTextChar"/>
    <w:rsid w:val="003A6427"/>
    <w:rPr>
      <w:rFonts w:ascii="Tahoma" w:hAnsi="Tahoma" w:cs="Tahoma"/>
      <w:sz w:val="16"/>
      <w:szCs w:val="16"/>
    </w:rPr>
  </w:style>
  <w:style w:type="character" w:customStyle="1" w:styleId="BalloonTextChar">
    <w:name w:val="Balloon Text Char"/>
    <w:link w:val="BalloonText"/>
    <w:rsid w:val="003A6427"/>
    <w:rPr>
      <w:rFonts w:ascii="Tahoma" w:hAnsi="Tahoma" w:cs="Tahoma"/>
      <w:sz w:val="16"/>
      <w:szCs w:val="16"/>
      <w:lang w:val="en-GB"/>
    </w:rPr>
  </w:style>
  <w:style w:type="paragraph" w:styleId="ListParagraph">
    <w:name w:val="List Paragraph"/>
    <w:basedOn w:val="Normal"/>
    <w:uiPriority w:val="34"/>
    <w:qFormat/>
    <w:rsid w:val="00A02954"/>
    <w:pPr>
      <w:ind w:left="720"/>
    </w:pPr>
    <w:rPr>
      <w:rFonts w:ascii="Calibri" w:hAnsi="Calibri"/>
      <w:sz w:val="22"/>
      <w:szCs w:val="22"/>
      <w:lang w:eastAsia="en-GB"/>
    </w:rPr>
  </w:style>
  <w:style w:type="character" w:customStyle="1" w:styleId="FooterChar">
    <w:name w:val="Footer Char"/>
    <w:link w:val="Footer"/>
    <w:uiPriority w:val="99"/>
    <w:rsid w:val="00FE6530"/>
    <w:rPr>
      <w:lang w:eastAsia="en-US"/>
    </w:rPr>
  </w:style>
  <w:style w:type="table" w:styleId="TableGrid">
    <w:name w:val="Table Grid"/>
    <w:basedOn w:val="TableNormal"/>
    <w:uiPriority w:val="59"/>
    <w:rsid w:val="00AC23C9"/>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7241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72419"/>
    <w:rPr>
      <w:rFonts w:ascii="Consolas" w:eastAsiaTheme="minorHAnsi" w:hAnsi="Consolas" w:cstheme="minorBidi"/>
      <w:sz w:val="21"/>
      <w:szCs w:val="21"/>
      <w:lang w:eastAsia="en-US"/>
    </w:rPr>
  </w:style>
  <w:style w:type="paragraph" w:customStyle="1" w:styleId="Default">
    <w:name w:val="Default"/>
    <w:rsid w:val="00825BC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8797">
      <w:bodyDiv w:val="1"/>
      <w:marLeft w:val="0"/>
      <w:marRight w:val="0"/>
      <w:marTop w:val="0"/>
      <w:marBottom w:val="0"/>
      <w:divBdr>
        <w:top w:val="none" w:sz="0" w:space="0" w:color="auto"/>
        <w:left w:val="none" w:sz="0" w:space="0" w:color="auto"/>
        <w:bottom w:val="none" w:sz="0" w:space="0" w:color="auto"/>
        <w:right w:val="none" w:sz="0" w:space="0" w:color="auto"/>
      </w:divBdr>
    </w:div>
    <w:div w:id="436757073">
      <w:bodyDiv w:val="1"/>
      <w:marLeft w:val="0"/>
      <w:marRight w:val="0"/>
      <w:marTop w:val="0"/>
      <w:marBottom w:val="0"/>
      <w:divBdr>
        <w:top w:val="none" w:sz="0" w:space="0" w:color="auto"/>
        <w:left w:val="none" w:sz="0" w:space="0" w:color="auto"/>
        <w:bottom w:val="none" w:sz="0" w:space="0" w:color="auto"/>
        <w:right w:val="none" w:sz="0" w:space="0" w:color="auto"/>
      </w:divBdr>
    </w:div>
    <w:div w:id="576860786">
      <w:bodyDiv w:val="1"/>
      <w:marLeft w:val="0"/>
      <w:marRight w:val="0"/>
      <w:marTop w:val="0"/>
      <w:marBottom w:val="0"/>
      <w:divBdr>
        <w:top w:val="none" w:sz="0" w:space="0" w:color="auto"/>
        <w:left w:val="none" w:sz="0" w:space="0" w:color="auto"/>
        <w:bottom w:val="none" w:sz="0" w:space="0" w:color="auto"/>
        <w:right w:val="none" w:sz="0" w:space="0" w:color="auto"/>
      </w:divBdr>
    </w:div>
    <w:div w:id="749276081">
      <w:bodyDiv w:val="1"/>
      <w:marLeft w:val="0"/>
      <w:marRight w:val="0"/>
      <w:marTop w:val="0"/>
      <w:marBottom w:val="0"/>
      <w:divBdr>
        <w:top w:val="none" w:sz="0" w:space="0" w:color="auto"/>
        <w:left w:val="none" w:sz="0" w:space="0" w:color="auto"/>
        <w:bottom w:val="none" w:sz="0" w:space="0" w:color="auto"/>
        <w:right w:val="none" w:sz="0" w:space="0" w:color="auto"/>
      </w:divBdr>
    </w:div>
    <w:div w:id="922766072">
      <w:bodyDiv w:val="1"/>
      <w:marLeft w:val="0"/>
      <w:marRight w:val="0"/>
      <w:marTop w:val="0"/>
      <w:marBottom w:val="0"/>
      <w:divBdr>
        <w:top w:val="none" w:sz="0" w:space="0" w:color="auto"/>
        <w:left w:val="none" w:sz="0" w:space="0" w:color="auto"/>
        <w:bottom w:val="none" w:sz="0" w:space="0" w:color="auto"/>
        <w:right w:val="none" w:sz="0" w:space="0" w:color="auto"/>
      </w:divBdr>
    </w:div>
    <w:div w:id="1078942005">
      <w:bodyDiv w:val="1"/>
      <w:marLeft w:val="0"/>
      <w:marRight w:val="0"/>
      <w:marTop w:val="0"/>
      <w:marBottom w:val="0"/>
      <w:divBdr>
        <w:top w:val="none" w:sz="0" w:space="0" w:color="auto"/>
        <w:left w:val="none" w:sz="0" w:space="0" w:color="auto"/>
        <w:bottom w:val="none" w:sz="0" w:space="0" w:color="auto"/>
        <w:right w:val="none" w:sz="0" w:space="0" w:color="auto"/>
      </w:divBdr>
    </w:div>
    <w:div w:id="1376854605">
      <w:bodyDiv w:val="1"/>
      <w:marLeft w:val="0"/>
      <w:marRight w:val="0"/>
      <w:marTop w:val="0"/>
      <w:marBottom w:val="0"/>
      <w:divBdr>
        <w:top w:val="none" w:sz="0" w:space="0" w:color="auto"/>
        <w:left w:val="none" w:sz="0" w:space="0" w:color="auto"/>
        <w:bottom w:val="none" w:sz="0" w:space="0" w:color="auto"/>
        <w:right w:val="none" w:sz="0" w:space="0" w:color="auto"/>
      </w:divBdr>
    </w:div>
    <w:div w:id="1431581180">
      <w:bodyDiv w:val="1"/>
      <w:marLeft w:val="0"/>
      <w:marRight w:val="0"/>
      <w:marTop w:val="0"/>
      <w:marBottom w:val="0"/>
      <w:divBdr>
        <w:top w:val="none" w:sz="0" w:space="0" w:color="auto"/>
        <w:left w:val="none" w:sz="0" w:space="0" w:color="auto"/>
        <w:bottom w:val="none" w:sz="0" w:space="0" w:color="auto"/>
        <w:right w:val="none" w:sz="0" w:space="0" w:color="auto"/>
      </w:divBdr>
    </w:div>
    <w:div w:id="17803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3536</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glovett</dc:creator>
  <cp:lastModifiedBy>louise Gatley</cp:lastModifiedBy>
  <cp:revision>2</cp:revision>
  <cp:lastPrinted>2015-01-05T11:03:00Z</cp:lastPrinted>
  <dcterms:created xsi:type="dcterms:W3CDTF">2015-03-16T15:35:00Z</dcterms:created>
  <dcterms:modified xsi:type="dcterms:W3CDTF">2015-03-16T15:35:00Z</dcterms:modified>
</cp:coreProperties>
</file>