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0267" w14:textId="77777777" w:rsidR="0039325F" w:rsidRDefault="0039325F"/>
    <w:p w14:paraId="1B660671" w14:textId="43D3D05D" w:rsidR="00BE708A" w:rsidRDefault="0039325F" w:rsidP="0039325F">
      <w:pPr>
        <w:jc w:val="center"/>
        <w:rPr>
          <w:rFonts w:ascii="Arial" w:hAnsi="Arial" w:cs="Arial"/>
          <w:b/>
          <w:bCs/>
          <w:sz w:val="28"/>
          <w:szCs w:val="28"/>
        </w:rPr>
      </w:pPr>
      <w:bookmarkStart w:id="0" w:name="_Hlk198658020"/>
      <w:r w:rsidRPr="0039325F">
        <w:rPr>
          <w:rFonts w:ascii="Arial" w:hAnsi="Arial" w:cs="Arial"/>
          <w:b/>
          <w:bCs/>
          <w:sz w:val="28"/>
          <w:szCs w:val="28"/>
        </w:rPr>
        <w:t>Manchester Health and Wellbeing Board 2025-2028 Pharmaceutical Needs Assessment – Consultation Response Form</w:t>
      </w:r>
      <w:bookmarkEnd w:id="0"/>
      <w:r w:rsidRPr="0039325F">
        <w:rPr>
          <w:rFonts w:ascii="Arial" w:hAnsi="Arial" w:cs="Arial"/>
          <w:b/>
          <w:bCs/>
          <w:sz w:val="28"/>
          <w:szCs w:val="28"/>
        </w:rPr>
        <w:t>.</w:t>
      </w:r>
    </w:p>
    <w:p w14:paraId="7412FB2D" w14:textId="0AC97F17" w:rsidR="0039325F" w:rsidRDefault="0039325F" w:rsidP="0039325F">
      <w:pPr>
        <w:jc w:val="both"/>
        <w:rPr>
          <w:rFonts w:ascii="Arial" w:hAnsi="Arial" w:cs="Arial"/>
          <w:color w:val="000000"/>
          <w:sz w:val="24"/>
          <w:szCs w:val="24"/>
        </w:rPr>
      </w:pPr>
      <w:r>
        <w:rPr>
          <w:rFonts w:ascii="Arial" w:hAnsi="Arial" w:cs="Arial"/>
          <w:color w:val="000000"/>
          <w:sz w:val="24"/>
          <w:szCs w:val="24"/>
        </w:rPr>
        <w:t xml:space="preserve">Manchester </w:t>
      </w:r>
      <w:r w:rsidRPr="0039325F">
        <w:rPr>
          <w:rFonts w:ascii="Arial" w:hAnsi="Arial" w:cs="Arial"/>
          <w:color w:val="000000" w:themeColor="text1"/>
          <w:sz w:val="24"/>
          <w:szCs w:val="24"/>
        </w:rPr>
        <w:t xml:space="preserve">Health and Wellbeing Board </w:t>
      </w:r>
      <w:r>
        <w:rPr>
          <w:rFonts w:ascii="Arial" w:hAnsi="Arial" w:cs="Arial"/>
          <w:color w:val="000000" w:themeColor="text1"/>
          <w:sz w:val="24"/>
          <w:szCs w:val="24"/>
        </w:rPr>
        <w:t>(</w:t>
      </w:r>
      <w:r>
        <w:rPr>
          <w:rFonts w:ascii="Arial" w:hAnsi="Arial" w:cs="Arial"/>
          <w:color w:val="000000"/>
          <w:sz w:val="24"/>
          <w:szCs w:val="24"/>
        </w:rPr>
        <w:t xml:space="preserve">HWB) is currently producing the 2025-2028 </w:t>
      </w:r>
      <w:r w:rsidRPr="0039325F">
        <w:rPr>
          <w:rFonts w:ascii="Arial" w:hAnsi="Arial" w:cs="Arial"/>
          <w:color w:val="000000" w:themeColor="text1"/>
          <w:sz w:val="24"/>
          <w:szCs w:val="24"/>
        </w:rPr>
        <w:t>Pharmaceutical Needs Assessment (PNA)</w:t>
      </w:r>
      <w:r>
        <w:rPr>
          <w:rFonts w:ascii="Arial" w:hAnsi="Arial" w:cs="Arial"/>
          <w:color w:val="000000"/>
          <w:sz w:val="24"/>
          <w:szCs w:val="24"/>
        </w:rPr>
        <w:t>. The PNA looks at what pharmacy services a community needs and helps local health and wellbeing boards decide where new pharmacies should be and what services they should offer. This ensures everyone has access to the medicines and advice they need.</w:t>
      </w:r>
    </w:p>
    <w:p w14:paraId="68763C74" w14:textId="3E2A8FB6" w:rsidR="0039325F" w:rsidRDefault="0039325F" w:rsidP="0039325F">
      <w:pPr>
        <w:jc w:val="both"/>
        <w:rPr>
          <w:rFonts w:ascii="Arial" w:hAnsi="Arial" w:cs="Arial"/>
          <w:color w:val="000000" w:themeColor="text1"/>
          <w:sz w:val="24"/>
          <w:szCs w:val="24"/>
        </w:rPr>
      </w:pPr>
      <w:r w:rsidRPr="0039325F">
        <w:rPr>
          <w:rFonts w:ascii="Arial" w:hAnsi="Arial" w:cs="Arial"/>
          <w:color w:val="000000" w:themeColor="text1"/>
          <w:sz w:val="24"/>
          <w:szCs w:val="24"/>
        </w:rPr>
        <w:t>The Manchester HWB must consult with certain organisations about the contents of the PNA at least once, and that consultation must run for a minimum period of 60 days.</w:t>
      </w:r>
    </w:p>
    <w:p w14:paraId="1FF51EF1" w14:textId="6CAE6121" w:rsidR="0039325F" w:rsidRDefault="0039325F" w:rsidP="0039325F">
      <w:pPr>
        <w:jc w:val="both"/>
        <w:rPr>
          <w:rFonts w:ascii="Arial" w:hAnsi="Arial" w:cs="Arial"/>
          <w:color w:val="000000" w:themeColor="text1"/>
          <w:sz w:val="24"/>
          <w:szCs w:val="24"/>
        </w:rPr>
      </w:pPr>
      <w:r>
        <w:rPr>
          <w:rFonts w:ascii="Arial" w:hAnsi="Arial" w:cs="Arial"/>
          <w:color w:val="000000" w:themeColor="text1"/>
          <w:sz w:val="24"/>
          <w:szCs w:val="24"/>
        </w:rPr>
        <w:t xml:space="preserve">Please take the time to support the development of the Manchester HWB PNA by reviewing the final draft provided and submitting any responses via the form below. In your </w:t>
      </w:r>
      <w:proofErr w:type="gramStart"/>
      <w:r>
        <w:rPr>
          <w:rFonts w:ascii="Arial" w:hAnsi="Arial" w:cs="Arial"/>
          <w:color w:val="000000" w:themeColor="text1"/>
          <w:sz w:val="24"/>
          <w:szCs w:val="24"/>
        </w:rPr>
        <w:t>response</w:t>
      </w:r>
      <w:proofErr w:type="gramEnd"/>
      <w:r>
        <w:rPr>
          <w:rFonts w:ascii="Arial" w:hAnsi="Arial" w:cs="Arial"/>
          <w:color w:val="000000" w:themeColor="text1"/>
          <w:sz w:val="24"/>
          <w:szCs w:val="24"/>
        </w:rPr>
        <w:t xml:space="preserve"> please consider the following questions:</w:t>
      </w:r>
    </w:p>
    <w:p w14:paraId="465DC536" w14:textId="6433CF8A"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H</w:t>
      </w:r>
      <w:r w:rsidRPr="0039325F">
        <w:rPr>
          <w:rFonts w:ascii="Arial" w:hAnsi="Arial" w:cs="Arial"/>
          <w:sz w:val="24"/>
          <w:szCs w:val="24"/>
        </w:rPr>
        <w:t xml:space="preserve">as the purpose of the pharmaceutical needs assessment been explained? </w:t>
      </w:r>
    </w:p>
    <w:p w14:paraId="099A476E" w14:textId="6870D141"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D</w:t>
      </w:r>
      <w:r w:rsidRPr="0039325F">
        <w:rPr>
          <w:rFonts w:ascii="Arial" w:hAnsi="Arial" w:cs="Arial"/>
          <w:sz w:val="24"/>
          <w:szCs w:val="24"/>
        </w:rPr>
        <w:t xml:space="preserve">oes the pharmaceutical needs assessment reflect the current provision of pharmaceutical services within your area? </w:t>
      </w:r>
    </w:p>
    <w:p w14:paraId="1BA2504D" w14:textId="76D4E6BB"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A</w:t>
      </w:r>
      <w:r w:rsidRPr="0039325F">
        <w:rPr>
          <w:rFonts w:ascii="Arial" w:hAnsi="Arial" w:cs="Arial"/>
          <w:sz w:val="24"/>
          <w:szCs w:val="24"/>
        </w:rPr>
        <w:t xml:space="preserve">re there any gaps in service provision i.e. when, where and which services are available that have not been identified in the pharmaceutical needs assessment? </w:t>
      </w:r>
    </w:p>
    <w:p w14:paraId="515D23D2" w14:textId="6D8A46F5"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D</w:t>
      </w:r>
      <w:r w:rsidRPr="0039325F">
        <w:rPr>
          <w:rFonts w:ascii="Arial" w:hAnsi="Arial" w:cs="Arial"/>
          <w:sz w:val="24"/>
          <w:szCs w:val="24"/>
        </w:rPr>
        <w:t xml:space="preserve">oes the draft pharmaceutical needs assessment reflect the needs of your area’s population? </w:t>
      </w:r>
    </w:p>
    <w:p w14:paraId="0D1EC3F5" w14:textId="210B0D17"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H</w:t>
      </w:r>
      <w:r w:rsidRPr="0039325F">
        <w:rPr>
          <w:rFonts w:ascii="Arial" w:hAnsi="Arial" w:cs="Arial"/>
          <w:sz w:val="24"/>
          <w:szCs w:val="24"/>
        </w:rPr>
        <w:t xml:space="preserve">as the pharmaceutical needs assessment provided information to inform market entry decisions i.e. decisions on applications for new pharmacies and dispensing appliance contractor premises? </w:t>
      </w:r>
    </w:p>
    <w:p w14:paraId="31B77DF3" w14:textId="29A75D9E"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H</w:t>
      </w:r>
      <w:r w:rsidRPr="0039325F">
        <w:rPr>
          <w:rFonts w:ascii="Arial" w:hAnsi="Arial" w:cs="Arial"/>
          <w:sz w:val="24"/>
          <w:szCs w:val="24"/>
        </w:rPr>
        <w:t xml:space="preserve">as the pharmaceutical needs assessment provided information to inform how pharmaceutical services may be commissioned in the future? </w:t>
      </w:r>
    </w:p>
    <w:p w14:paraId="6065964B" w14:textId="466761A2"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H</w:t>
      </w:r>
      <w:r w:rsidRPr="0039325F">
        <w:rPr>
          <w:rFonts w:ascii="Arial" w:hAnsi="Arial" w:cs="Arial"/>
          <w:sz w:val="24"/>
          <w:szCs w:val="24"/>
        </w:rPr>
        <w:t xml:space="preserve">as the pharmaceutical needs assessment provided enough information to inform future pharmaceutical services provision and plans for pharmacies and dispensing appliance contractors? </w:t>
      </w:r>
    </w:p>
    <w:p w14:paraId="525FF0DD" w14:textId="1538FF29"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A</w:t>
      </w:r>
      <w:r w:rsidRPr="0039325F">
        <w:rPr>
          <w:rFonts w:ascii="Arial" w:hAnsi="Arial" w:cs="Arial"/>
          <w:sz w:val="24"/>
          <w:szCs w:val="24"/>
        </w:rPr>
        <w:t xml:space="preserve">re there any pharmaceutical services that could be provided in the community pharmacy setting in the future that have not been highlighted? </w:t>
      </w:r>
    </w:p>
    <w:p w14:paraId="2C9DEB61" w14:textId="60CB9DE8"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D</w:t>
      </w:r>
      <w:r w:rsidRPr="0039325F">
        <w:rPr>
          <w:rFonts w:ascii="Arial" w:hAnsi="Arial" w:cs="Arial"/>
          <w:sz w:val="24"/>
          <w:szCs w:val="24"/>
        </w:rPr>
        <w:t>o you agree with the conclusions of the pharmaceutical needs assessment?</w:t>
      </w:r>
    </w:p>
    <w:p w14:paraId="229CE1EE" w14:textId="3B989855" w:rsidR="0039325F" w:rsidRPr="0039325F" w:rsidRDefault="0039325F" w:rsidP="0039325F">
      <w:pPr>
        <w:pStyle w:val="ListParagraph"/>
        <w:numPr>
          <w:ilvl w:val="0"/>
          <w:numId w:val="2"/>
        </w:numPr>
        <w:ind w:left="360"/>
        <w:jc w:val="both"/>
        <w:rPr>
          <w:rFonts w:ascii="Arial" w:hAnsi="Arial" w:cs="Arial"/>
          <w:color w:val="000000" w:themeColor="text1"/>
          <w:sz w:val="24"/>
          <w:szCs w:val="24"/>
        </w:rPr>
      </w:pPr>
      <w:r w:rsidRPr="0039325F">
        <w:rPr>
          <w:rFonts w:ascii="Arial" w:hAnsi="Arial" w:cs="Arial"/>
          <w:sz w:val="24"/>
          <w:szCs w:val="24"/>
        </w:rPr>
        <w:t>Do you have any other comments?</w:t>
      </w:r>
    </w:p>
    <w:p w14:paraId="1F5CE69B" w14:textId="549FD9B9" w:rsidR="0039325F" w:rsidRDefault="0039325F" w:rsidP="0039325F">
      <w:pPr>
        <w:jc w:val="both"/>
        <w:rPr>
          <w:rFonts w:ascii="Arial" w:hAnsi="Arial" w:cs="Arial"/>
          <w:b/>
          <w:bCs/>
          <w:sz w:val="24"/>
          <w:szCs w:val="24"/>
        </w:rPr>
      </w:pPr>
      <w:r w:rsidRPr="0039325F">
        <w:rPr>
          <w:rFonts w:ascii="Arial" w:hAnsi="Arial" w:cs="Arial"/>
          <w:b/>
          <w:bCs/>
          <w:sz w:val="24"/>
          <w:szCs w:val="24"/>
        </w:rPr>
        <w:t xml:space="preserve">Closing Date: </w:t>
      </w:r>
      <w:r w:rsidR="00530776" w:rsidRPr="00530776">
        <w:rPr>
          <w:rFonts w:ascii="Arial" w:hAnsi="Arial" w:cs="Arial"/>
          <w:b/>
          <w:bCs/>
          <w:sz w:val="24"/>
          <w:szCs w:val="24"/>
        </w:rPr>
        <w:t>09</w:t>
      </w:r>
      <w:r w:rsidRPr="00530776">
        <w:rPr>
          <w:rFonts w:ascii="Arial" w:hAnsi="Arial" w:cs="Arial"/>
          <w:b/>
          <w:bCs/>
          <w:sz w:val="24"/>
          <w:szCs w:val="24"/>
        </w:rPr>
        <w:t xml:space="preserve"> August 2025</w:t>
      </w:r>
    </w:p>
    <w:p w14:paraId="0B8AE272" w14:textId="0CF1C528" w:rsidR="0039325F" w:rsidRPr="00530776" w:rsidRDefault="00530776" w:rsidP="0039325F">
      <w:pPr>
        <w:jc w:val="both"/>
        <w:rPr>
          <w:rFonts w:ascii="Arial" w:hAnsi="Arial" w:cs="Arial"/>
          <w:sz w:val="24"/>
          <w:szCs w:val="24"/>
        </w:rPr>
      </w:pPr>
      <w:r w:rsidRPr="00530776">
        <w:rPr>
          <w:rFonts w:ascii="Arial" w:hAnsi="Arial" w:cs="Arial"/>
          <w:sz w:val="24"/>
          <w:szCs w:val="24"/>
        </w:rPr>
        <w:t>Sincere thank you in advance for your support.</w:t>
      </w:r>
    </w:p>
    <w:p w14:paraId="18AA0A16" w14:textId="77777777" w:rsidR="0039325F" w:rsidRDefault="0039325F" w:rsidP="0039325F">
      <w:pPr>
        <w:jc w:val="both"/>
        <w:rPr>
          <w:rFonts w:ascii="Arial" w:hAnsi="Arial" w:cs="Arial"/>
          <w:b/>
          <w:bCs/>
          <w:sz w:val="24"/>
          <w:szCs w:val="24"/>
        </w:rPr>
      </w:pPr>
    </w:p>
    <w:tbl>
      <w:tblPr>
        <w:tblStyle w:val="TableGrid"/>
        <w:tblpPr w:leftFromText="180" w:rightFromText="180" w:horzAnchor="margin" w:tblpX="-856" w:tblpY="739"/>
        <w:tblW w:w="10632" w:type="dxa"/>
        <w:tblLook w:val="04A0" w:firstRow="1" w:lastRow="0" w:firstColumn="1" w:lastColumn="0" w:noHBand="0" w:noVBand="1"/>
      </w:tblPr>
      <w:tblGrid>
        <w:gridCol w:w="3545"/>
        <w:gridCol w:w="7087"/>
      </w:tblGrid>
      <w:tr w:rsidR="0039325F" w14:paraId="52DF71A9" w14:textId="77777777" w:rsidTr="0099355D">
        <w:tc>
          <w:tcPr>
            <w:tcW w:w="3545" w:type="dxa"/>
            <w:shd w:val="clear" w:color="auto" w:fill="E7E6E6" w:themeFill="background2"/>
          </w:tcPr>
          <w:p w14:paraId="6B4F62B2" w14:textId="42DF5AF0" w:rsidR="0039325F" w:rsidRPr="00D23AD1" w:rsidRDefault="0039325F" w:rsidP="0099355D">
            <w:pPr>
              <w:rPr>
                <w:rFonts w:ascii="Arial" w:hAnsi="Arial" w:cs="Arial"/>
                <w:b/>
                <w:bCs/>
                <w:sz w:val="24"/>
                <w:szCs w:val="24"/>
              </w:rPr>
            </w:pPr>
            <w:r w:rsidRPr="00D23AD1">
              <w:rPr>
                <w:rFonts w:ascii="Arial" w:hAnsi="Arial" w:cs="Arial"/>
                <w:b/>
                <w:bCs/>
                <w:sz w:val="24"/>
                <w:szCs w:val="24"/>
              </w:rPr>
              <w:lastRenderedPageBreak/>
              <w:t>Name</w:t>
            </w:r>
          </w:p>
        </w:tc>
        <w:tc>
          <w:tcPr>
            <w:tcW w:w="7087" w:type="dxa"/>
          </w:tcPr>
          <w:p w14:paraId="5F8A2CA4" w14:textId="0DB07A43" w:rsidR="0039325F" w:rsidRPr="0039325F" w:rsidRDefault="0039325F" w:rsidP="0099355D">
            <w:pPr>
              <w:jc w:val="center"/>
              <w:rPr>
                <w:rFonts w:ascii="Arial" w:hAnsi="Arial" w:cs="Arial"/>
                <w:b/>
                <w:bCs/>
                <w:sz w:val="24"/>
                <w:szCs w:val="24"/>
              </w:rPr>
            </w:pPr>
          </w:p>
        </w:tc>
      </w:tr>
      <w:tr w:rsidR="0039325F" w14:paraId="50E158FE" w14:textId="77777777" w:rsidTr="0099355D">
        <w:tc>
          <w:tcPr>
            <w:tcW w:w="3545" w:type="dxa"/>
            <w:shd w:val="clear" w:color="auto" w:fill="E7E6E6" w:themeFill="background2"/>
          </w:tcPr>
          <w:p w14:paraId="61183151" w14:textId="408F187D" w:rsidR="0039325F" w:rsidRPr="00D23AD1" w:rsidRDefault="0039325F" w:rsidP="0099355D">
            <w:pPr>
              <w:rPr>
                <w:rFonts w:ascii="Arial" w:hAnsi="Arial" w:cs="Arial"/>
                <w:b/>
                <w:bCs/>
                <w:sz w:val="24"/>
                <w:szCs w:val="24"/>
              </w:rPr>
            </w:pPr>
            <w:r w:rsidRPr="00D23AD1">
              <w:rPr>
                <w:rFonts w:ascii="Arial" w:hAnsi="Arial" w:cs="Arial"/>
                <w:b/>
                <w:bCs/>
                <w:sz w:val="24"/>
                <w:szCs w:val="24"/>
              </w:rPr>
              <w:t>Organisation</w:t>
            </w:r>
          </w:p>
        </w:tc>
        <w:tc>
          <w:tcPr>
            <w:tcW w:w="7087" w:type="dxa"/>
          </w:tcPr>
          <w:p w14:paraId="7828D0DB" w14:textId="77777777" w:rsidR="0039325F" w:rsidRDefault="0039325F" w:rsidP="0099355D">
            <w:pPr>
              <w:jc w:val="both"/>
              <w:rPr>
                <w:rFonts w:ascii="Arial" w:hAnsi="Arial" w:cs="Arial"/>
                <w:sz w:val="24"/>
                <w:szCs w:val="24"/>
              </w:rPr>
            </w:pPr>
          </w:p>
        </w:tc>
      </w:tr>
      <w:tr w:rsidR="00D23AD1" w14:paraId="1D109E39" w14:textId="77777777" w:rsidTr="0099355D">
        <w:tc>
          <w:tcPr>
            <w:tcW w:w="3545" w:type="dxa"/>
            <w:shd w:val="clear" w:color="auto" w:fill="E7E6E6" w:themeFill="background2"/>
          </w:tcPr>
          <w:p w14:paraId="37FB5D96" w14:textId="355E76C1" w:rsidR="00D23AD1" w:rsidRPr="00D23AD1" w:rsidRDefault="00D23AD1" w:rsidP="0099355D">
            <w:pPr>
              <w:rPr>
                <w:rFonts w:ascii="Arial" w:hAnsi="Arial" w:cs="Arial"/>
                <w:b/>
                <w:bCs/>
                <w:sz w:val="24"/>
                <w:szCs w:val="24"/>
              </w:rPr>
            </w:pPr>
            <w:r w:rsidRPr="00D23AD1">
              <w:rPr>
                <w:rFonts w:ascii="Arial" w:hAnsi="Arial" w:cs="Arial"/>
                <w:b/>
                <w:bCs/>
                <w:sz w:val="24"/>
                <w:szCs w:val="24"/>
              </w:rPr>
              <w:t>Job Title</w:t>
            </w:r>
          </w:p>
        </w:tc>
        <w:tc>
          <w:tcPr>
            <w:tcW w:w="7087" w:type="dxa"/>
          </w:tcPr>
          <w:p w14:paraId="414206EE" w14:textId="77777777" w:rsidR="00D23AD1" w:rsidRDefault="00D23AD1" w:rsidP="0099355D">
            <w:pPr>
              <w:jc w:val="both"/>
              <w:rPr>
                <w:rFonts w:ascii="Arial" w:hAnsi="Arial" w:cs="Arial"/>
                <w:sz w:val="24"/>
                <w:szCs w:val="24"/>
              </w:rPr>
            </w:pPr>
          </w:p>
        </w:tc>
      </w:tr>
      <w:tr w:rsidR="00D23AD1" w14:paraId="62A60BDD" w14:textId="77777777" w:rsidTr="0099355D">
        <w:tc>
          <w:tcPr>
            <w:tcW w:w="3545" w:type="dxa"/>
            <w:shd w:val="clear" w:color="auto" w:fill="E7E6E6" w:themeFill="background2"/>
          </w:tcPr>
          <w:p w14:paraId="30479680" w14:textId="544CE8A8" w:rsidR="00D23AD1" w:rsidRPr="00D23AD1" w:rsidRDefault="00D23AD1" w:rsidP="0099355D">
            <w:pPr>
              <w:rPr>
                <w:rFonts w:ascii="Arial" w:hAnsi="Arial" w:cs="Arial"/>
                <w:b/>
                <w:bCs/>
                <w:sz w:val="24"/>
                <w:szCs w:val="24"/>
              </w:rPr>
            </w:pPr>
            <w:r w:rsidRPr="00D23AD1">
              <w:rPr>
                <w:rFonts w:ascii="Arial" w:hAnsi="Arial" w:cs="Arial"/>
                <w:b/>
                <w:bCs/>
                <w:sz w:val="24"/>
                <w:szCs w:val="24"/>
              </w:rPr>
              <w:t>Email Address</w:t>
            </w:r>
          </w:p>
        </w:tc>
        <w:tc>
          <w:tcPr>
            <w:tcW w:w="7087" w:type="dxa"/>
          </w:tcPr>
          <w:p w14:paraId="456584D7" w14:textId="77777777" w:rsidR="00D23AD1" w:rsidRDefault="00D23AD1" w:rsidP="0099355D">
            <w:pPr>
              <w:jc w:val="both"/>
              <w:rPr>
                <w:rFonts w:ascii="Arial" w:hAnsi="Arial" w:cs="Arial"/>
                <w:sz w:val="24"/>
                <w:szCs w:val="24"/>
              </w:rPr>
            </w:pPr>
          </w:p>
        </w:tc>
      </w:tr>
      <w:tr w:rsidR="0039325F" w14:paraId="1159A89F" w14:textId="77777777" w:rsidTr="0099355D">
        <w:tc>
          <w:tcPr>
            <w:tcW w:w="3545" w:type="dxa"/>
            <w:shd w:val="clear" w:color="auto" w:fill="E7E6E6" w:themeFill="background2"/>
          </w:tcPr>
          <w:p w14:paraId="701FF6CA" w14:textId="72CDD6D9" w:rsidR="0039325F" w:rsidRPr="00D23AD1" w:rsidRDefault="0039325F" w:rsidP="0099355D">
            <w:pPr>
              <w:jc w:val="both"/>
              <w:rPr>
                <w:rFonts w:ascii="Arial" w:hAnsi="Arial" w:cs="Arial"/>
                <w:b/>
                <w:bCs/>
                <w:sz w:val="24"/>
                <w:szCs w:val="24"/>
              </w:rPr>
            </w:pPr>
            <w:r w:rsidRPr="00D23AD1">
              <w:rPr>
                <w:rFonts w:ascii="Arial" w:hAnsi="Arial" w:cs="Arial"/>
                <w:b/>
                <w:bCs/>
                <w:sz w:val="24"/>
                <w:szCs w:val="24"/>
              </w:rPr>
              <w:t>Section</w:t>
            </w:r>
          </w:p>
        </w:tc>
        <w:tc>
          <w:tcPr>
            <w:tcW w:w="7087" w:type="dxa"/>
            <w:shd w:val="clear" w:color="auto" w:fill="E7E6E6" w:themeFill="background2"/>
          </w:tcPr>
          <w:p w14:paraId="154BA084" w14:textId="190426ED" w:rsidR="0039325F" w:rsidRPr="00D23AD1" w:rsidRDefault="0039325F" w:rsidP="0099355D">
            <w:pPr>
              <w:jc w:val="center"/>
              <w:rPr>
                <w:rFonts w:ascii="Arial" w:hAnsi="Arial" w:cs="Arial"/>
                <w:b/>
                <w:bCs/>
                <w:sz w:val="24"/>
                <w:szCs w:val="24"/>
              </w:rPr>
            </w:pPr>
            <w:r w:rsidRPr="00D23AD1">
              <w:rPr>
                <w:rFonts w:ascii="Arial" w:hAnsi="Arial" w:cs="Arial"/>
                <w:b/>
                <w:bCs/>
                <w:sz w:val="24"/>
                <w:szCs w:val="24"/>
              </w:rPr>
              <w:t>Comments</w:t>
            </w:r>
          </w:p>
        </w:tc>
      </w:tr>
      <w:tr w:rsidR="0039325F" w14:paraId="367C5870" w14:textId="77777777" w:rsidTr="00DD1F05">
        <w:tc>
          <w:tcPr>
            <w:tcW w:w="3545" w:type="dxa"/>
            <w:shd w:val="clear" w:color="auto" w:fill="E7E6E6" w:themeFill="background2"/>
          </w:tcPr>
          <w:p w14:paraId="37A685DF" w14:textId="4324E43E"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1.0 Executive Summary</w:t>
            </w:r>
          </w:p>
        </w:tc>
        <w:tc>
          <w:tcPr>
            <w:tcW w:w="7087" w:type="dxa"/>
          </w:tcPr>
          <w:p w14:paraId="0A6A9900" w14:textId="77777777" w:rsidR="0039325F" w:rsidRDefault="0039325F" w:rsidP="0099355D">
            <w:pPr>
              <w:jc w:val="both"/>
              <w:rPr>
                <w:rFonts w:ascii="Arial" w:hAnsi="Arial" w:cs="Arial"/>
                <w:sz w:val="24"/>
                <w:szCs w:val="24"/>
              </w:rPr>
            </w:pPr>
          </w:p>
        </w:tc>
      </w:tr>
      <w:tr w:rsidR="0039325F" w14:paraId="3246B12C" w14:textId="77777777" w:rsidTr="00DD1F05">
        <w:tc>
          <w:tcPr>
            <w:tcW w:w="3545" w:type="dxa"/>
            <w:shd w:val="clear" w:color="auto" w:fill="E7E6E6" w:themeFill="background2"/>
          </w:tcPr>
          <w:p w14:paraId="5B598672" w14:textId="4A6C9828"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2.0 Background</w:t>
            </w:r>
          </w:p>
        </w:tc>
        <w:tc>
          <w:tcPr>
            <w:tcW w:w="7087" w:type="dxa"/>
          </w:tcPr>
          <w:p w14:paraId="1487A161" w14:textId="77777777" w:rsidR="0039325F" w:rsidRDefault="0039325F" w:rsidP="0099355D">
            <w:pPr>
              <w:jc w:val="both"/>
              <w:rPr>
                <w:rFonts w:ascii="Arial" w:hAnsi="Arial" w:cs="Arial"/>
                <w:sz w:val="24"/>
                <w:szCs w:val="24"/>
              </w:rPr>
            </w:pPr>
          </w:p>
        </w:tc>
      </w:tr>
      <w:tr w:rsidR="0039325F" w14:paraId="407F1D0F" w14:textId="77777777" w:rsidTr="00DD1F05">
        <w:tc>
          <w:tcPr>
            <w:tcW w:w="3545" w:type="dxa"/>
            <w:shd w:val="clear" w:color="auto" w:fill="E7E6E6" w:themeFill="background2"/>
          </w:tcPr>
          <w:p w14:paraId="5D07C1E5" w14:textId="6F78B827"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3.0 Context in Manchester</w:t>
            </w:r>
          </w:p>
        </w:tc>
        <w:tc>
          <w:tcPr>
            <w:tcW w:w="7087" w:type="dxa"/>
          </w:tcPr>
          <w:p w14:paraId="0DA65106" w14:textId="77777777" w:rsidR="0039325F" w:rsidRDefault="0039325F" w:rsidP="0099355D">
            <w:pPr>
              <w:jc w:val="both"/>
              <w:rPr>
                <w:rFonts w:ascii="Arial" w:hAnsi="Arial" w:cs="Arial"/>
                <w:sz w:val="24"/>
                <w:szCs w:val="24"/>
              </w:rPr>
            </w:pPr>
          </w:p>
        </w:tc>
      </w:tr>
      <w:tr w:rsidR="0039325F" w14:paraId="0C754983" w14:textId="77777777" w:rsidTr="00DD1F05">
        <w:tc>
          <w:tcPr>
            <w:tcW w:w="3545" w:type="dxa"/>
            <w:shd w:val="clear" w:color="auto" w:fill="E7E6E6" w:themeFill="background2"/>
          </w:tcPr>
          <w:p w14:paraId="678AA608" w14:textId="6B13FF13"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4.0 Neighbourhoods for the purpose of the PNA</w:t>
            </w:r>
          </w:p>
        </w:tc>
        <w:tc>
          <w:tcPr>
            <w:tcW w:w="7087" w:type="dxa"/>
          </w:tcPr>
          <w:p w14:paraId="4D107C16" w14:textId="77777777" w:rsidR="0039325F" w:rsidRDefault="0039325F" w:rsidP="0099355D">
            <w:pPr>
              <w:jc w:val="both"/>
              <w:rPr>
                <w:rFonts w:ascii="Arial" w:hAnsi="Arial" w:cs="Arial"/>
                <w:sz w:val="24"/>
                <w:szCs w:val="24"/>
              </w:rPr>
            </w:pPr>
          </w:p>
        </w:tc>
      </w:tr>
      <w:tr w:rsidR="0039325F" w14:paraId="44279CD6" w14:textId="77777777" w:rsidTr="00DD1F05">
        <w:tc>
          <w:tcPr>
            <w:tcW w:w="3545" w:type="dxa"/>
            <w:shd w:val="clear" w:color="auto" w:fill="E7E6E6" w:themeFill="background2"/>
          </w:tcPr>
          <w:p w14:paraId="0A91E130" w14:textId="603A0D71"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5.0 Manchester Pharmacy Needs Assessment</w:t>
            </w:r>
          </w:p>
        </w:tc>
        <w:tc>
          <w:tcPr>
            <w:tcW w:w="7087" w:type="dxa"/>
          </w:tcPr>
          <w:p w14:paraId="1978A390" w14:textId="77777777" w:rsidR="0039325F" w:rsidRDefault="0039325F" w:rsidP="0099355D">
            <w:pPr>
              <w:jc w:val="both"/>
              <w:rPr>
                <w:rFonts w:ascii="Arial" w:hAnsi="Arial" w:cs="Arial"/>
                <w:sz w:val="24"/>
                <w:szCs w:val="24"/>
              </w:rPr>
            </w:pPr>
          </w:p>
        </w:tc>
      </w:tr>
      <w:tr w:rsidR="0039325F" w14:paraId="165F8E4C" w14:textId="77777777" w:rsidTr="00DD1F05">
        <w:tc>
          <w:tcPr>
            <w:tcW w:w="3545" w:type="dxa"/>
            <w:shd w:val="clear" w:color="auto" w:fill="E7E6E6" w:themeFill="background2"/>
          </w:tcPr>
          <w:p w14:paraId="73A71860" w14:textId="2573C97E"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6.0 Necessary and Relevant Services</w:t>
            </w:r>
          </w:p>
        </w:tc>
        <w:tc>
          <w:tcPr>
            <w:tcW w:w="7087" w:type="dxa"/>
          </w:tcPr>
          <w:p w14:paraId="6C5F12C2" w14:textId="77777777" w:rsidR="0039325F" w:rsidRDefault="0039325F" w:rsidP="0099355D">
            <w:pPr>
              <w:jc w:val="both"/>
              <w:rPr>
                <w:rFonts w:ascii="Arial" w:hAnsi="Arial" w:cs="Arial"/>
                <w:sz w:val="24"/>
                <w:szCs w:val="24"/>
              </w:rPr>
            </w:pPr>
          </w:p>
        </w:tc>
      </w:tr>
      <w:tr w:rsidR="0039325F" w14:paraId="0DAF4735" w14:textId="77777777" w:rsidTr="00DD1F05">
        <w:tc>
          <w:tcPr>
            <w:tcW w:w="3545" w:type="dxa"/>
            <w:shd w:val="clear" w:color="auto" w:fill="E7E6E6" w:themeFill="background2"/>
          </w:tcPr>
          <w:p w14:paraId="38E77E1C" w14:textId="4DACAE1E"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7.0 How Pharmaceutical Services Can Help Support a Healthier Population</w:t>
            </w:r>
          </w:p>
        </w:tc>
        <w:tc>
          <w:tcPr>
            <w:tcW w:w="7087" w:type="dxa"/>
          </w:tcPr>
          <w:p w14:paraId="23DDC3DA" w14:textId="77777777" w:rsidR="0039325F" w:rsidRDefault="0039325F" w:rsidP="0099355D">
            <w:pPr>
              <w:jc w:val="both"/>
              <w:rPr>
                <w:rFonts w:ascii="Arial" w:hAnsi="Arial" w:cs="Arial"/>
                <w:sz w:val="24"/>
                <w:szCs w:val="24"/>
              </w:rPr>
            </w:pPr>
          </w:p>
        </w:tc>
      </w:tr>
      <w:tr w:rsidR="0039325F" w14:paraId="085C1D5A" w14:textId="77777777" w:rsidTr="00DD1F05">
        <w:tc>
          <w:tcPr>
            <w:tcW w:w="3545" w:type="dxa"/>
            <w:shd w:val="clear" w:color="auto" w:fill="E7E6E6" w:themeFill="background2"/>
          </w:tcPr>
          <w:p w14:paraId="4D0CF768" w14:textId="57F418EE"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8.0 Gap Analysis of Pharmaceutical Services Provision</w:t>
            </w:r>
          </w:p>
        </w:tc>
        <w:tc>
          <w:tcPr>
            <w:tcW w:w="7087" w:type="dxa"/>
          </w:tcPr>
          <w:p w14:paraId="057C3078" w14:textId="77777777" w:rsidR="0039325F" w:rsidRDefault="0039325F" w:rsidP="0099355D">
            <w:pPr>
              <w:jc w:val="both"/>
              <w:rPr>
                <w:rFonts w:ascii="Arial" w:hAnsi="Arial" w:cs="Arial"/>
                <w:sz w:val="24"/>
                <w:szCs w:val="24"/>
              </w:rPr>
            </w:pPr>
          </w:p>
        </w:tc>
      </w:tr>
      <w:tr w:rsidR="0039325F" w14:paraId="7081EDD1" w14:textId="77777777" w:rsidTr="00DD1F05">
        <w:tc>
          <w:tcPr>
            <w:tcW w:w="3545" w:type="dxa"/>
            <w:shd w:val="clear" w:color="auto" w:fill="E7E6E6" w:themeFill="background2"/>
          </w:tcPr>
          <w:p w14:paraId="203AB24A" w14:textId="4B404698"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9.0 Service Improvements and Better Access</w:t>
            </w:r>
          </w:p>
        </w:tc>
        <w:tc>
          <w:tcPr>
            <w:tcW w:w="7087" w:type="dxa"/>
          </w:tcPr>
          <w:p w14:paraId="06D690E9" w14:textId="77777777" w:rsidR="0039325F" w:rsidRDefault="0039325F" w:rsidP="0099355D">
            <w:pPr>
              <w:jc w:val="both"/>
              <w:rPr>
                <w:rFonts w:ascii="Arial" w:hAnsi="Arial" w:cs="Arial"/>
                <w:sz w:val="24"/>
                <w:szCs w:val="24"/>
              </w:rPr>
            </w:pPr>
          </w:p>
        </w:tc>
      </w:tr>
      <w:tr w:rsidR="0039325F" w14:paraId="0D95C07D" w14:textId="77777777" w:rsidTr="00DD1F05">
        <w:tc>
          <w:tcPr>
            <w:tcW w:w="3545" w:type="dxa"/>
            <w:shd w:val="clear" w:color="auto" w:fill="E7E6E6" w:themeFill="background2"/>
          </w:tcPr>
          <w:p w14:paraId="35209923" w14:textId="306EC2C7"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10.0 Conclusions (For the Purpose of the Schedule 1 to the 2013 Regulations)</w:t>
            </w:r>
          </w:p>
        </w:tc>
        <w:tc>
          <w:tcPr>
            <w:tcW w:w="7087" w:type="dxa"/>
          </w:tcPr>
          <w:p w14:paraId="3E9FA550" w14:textId="77777777" w:rsidR="0039325F" w:rsidRDefault="0039325F" w:rsidP="0099355D">
            <w:pPr>
              <w:jc w:val="both"/>
              <w:rPr>
                <w:rFonts w:ascii="Arial" w:hAnsi="Arial" w:cs="Arial"/>
                <w:sz w:val="24"/>
                <w:szCs w:val="24"/>
              </w:rPr>
            </w:pPr>
          </w:p>
        </w:tc>
      </w:tr>
      <w:tr w:rsidR="0039325F" w14:paraId="7649CA1F" w14:textId="77777777" w:rsidTr="00DD1F05">
        <w:tc>
          <w:tcPr>
            <w:tcW w:w="3545" w:type="dxa"/>
            <w:shd w:val="clear" w:color="auto" w:fill="E7E6E6" w:themeFill="background2"/>
          </w:tcPr>
          <w:p w14:paraId="6F289709" w14:textId="13A97CBD"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11.0 Map of Provision</w:t>
            </w:r>
          </w:p>
        </w:tc>
        <w:tc>
          <w:tcPr>
            <w:tcW w:w="7087" w:type="dxa"/>
          </w:tcPr>
          <w:p w14:paraId="033729C3" w14:textId="77777777" w:rsidR="0039325F" w:rsidRDefault="0039325F" w:rsidP="0099355D">
            <w:pPr>
              <w:jc w:val="both"/>
              <w:rPr>
                <w:rFonts w:ascii="Arial" w:hAnsi="Arial" w:cs="Arial"/>
                <w:sz w:val="24"/>
                <w:szCs w:val="24"/>
              </w:rPr>
            </w:pPr>
          </w:p>
        </w:tc>
      </w:tr>
      <w:tr w:rsidR="0039325F" w14:paraId="3CEFA06D" w14:textId="77777777" w:rsidTr="00DD1F05">
        <w:tc>
          <w:tcPr>
            <w:tcW w:w="3545" w:type="dxa"/>
            <w:shd w:val="clear" w:color="auto" w:fill="E7E6E6" w:themeFill="background2"/>
          </w:tcPr>
          <w:p w14:paraId="69BFDEE2" w14:textId="41E2F157" w:rsidR="0039325F" w:rsidRPr="00DD1F05" w:rsidRDefault="00306B7C" w:rsidP="00306B7C">
            <w:pPr>
              <w:rPr>
                <w:rFonts w:ascii="Arial" w:hAnsi="Arial" w:cs="Arial"/>
                <w:b/>
                <w:bCs/>
                <w:sz w:val="24"/>
                <w:szCs w:val="24"/>
              </w:rPr>
            </w:pPr>
            <w:r w:rsidRPr="00DD1F05">
              <w:rPr>
                <w:rFonts w:ascii="Arial" w:hAnsi="Arial" w:cs="Arial"/>
                <w:b/>
                <w:bCs/>
                <w:sz w:val="24"/>
                <w:szCs w:val="24"/>
              </w:rPr>
              <w:t xml:space="preserve">Appendix 1: </w:t>
            </w:r>
            <w:r w:rsidRPr="00DD1F05">
              <w:rPr>
                <w:rFonts w:ascii="Arial" w:hAnsi="Arial" w:cs="Arial"/>
                <w:b/>
                <w:bCs/>
                <w:sz w:val="24"/>
                <w:szCs w:val="24"/>
              </w:rPr>
              <w:t>2025-2028 PNA Glossary</w:t>
            </w:r>
          </w:p>
        </w:tc>
        <w:tc>
          <w:tcPr>
            <w:tcW w:w="7087" w:type="dxa"/>
          </w:tcPr>
          <w:p w14:paraId="00D66BBB" w14:textId="77777777" w:rsidR="0039325F" w:rsidRDefault="0039325F" w:rsidP="0099355D">
            <w:pPr>
              <w:jc w:val="both"/>
              <w:rPr>
                <w:rFonts w:ascii="Arial" w:hAnsi="Arial" w:cs="Arial"/>
                <w:sz w:val="24"/>
                <w:szCs w:val="24"/>
              </w:rPr>
            </w:pPr>
          </w:p>
        </w:tc>
      </w:tr>
      <w:tr w:rsidR="0039325F" w14:paraId="36D1103A" w14:textId="77777777" w:rsidTr="00DD1F05">
        <w:tc>
          <w:tcPr>
            <w:tcW w:w="3545" w:type="dxa"/>
            <w:shd w:val="clear" w:color="auto" w:fill="E7E6E6" w:themeFill="background2"/>
          </w:tcPr>
          <w:p w14:paraId="23158F90" w14:textId="53F4C5CE" w:rsidR="0039325F"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2: Steering Group Terms of Reference</w:t>
            </w:r>
          </w:p>
        </w:tc>
        <w:tc>
          <w:tcPr>
            <w:tcW w:w="7087" w:type="dxa"/>
          </w:tcPr>
          <w:p w14:paraId="0D31492E" w14:textId="77777777" w:rsidR="0039325F" w:rsidRDefault="0039325F" w:rsidP="0099355D">
            <w:pPr>
              <w:jc w:val="both"/>
              <w:rPr>
                <w:rFonts w:ascii="Arial" w:hAnsi="Arial" w:cs="Arial"/>
                <w:sz w:val="24"/>
                <w:szCs w:val="24"/>
              </w:rPr>
            </w:pPr>
          </w:p>
        </w:tc>
      </w:tr>
      <w:tr w:rsidR="00306B7C" w14:paraId="1C69A5FE" w14:textId="77777777" w:rsidTr="00DD1F05">
        <w:tc>
          <w:tcPr>
            <w:tcW w:w="3545" w:type="dxa"/>
            <w:shd w:val="clear" w:color="auto" w:fill="E7E6E6" w:themeFill="background2"/>
          </w:tcPr>
          <w:p w14:paraId="1CAC6BCF" w14:textId="56450195"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lastRenderedPageBreak/>
              <w:t>Appendix 3: Public survey results</w:t>
            </w:r>
          </w:p>
        </w:tc>
        <w:tc>
          <w:tcPr>
            <w:tcW w:w="7087" w:type="dxa"/>
          </w:tcPr>
          <w:p w14:paraId="1DB0A2FE" w14:textId="77777777" w:rsidR="00306B7C" w:rsidRDefault="00306B7C" w:rsidP="0099355D">
            <w:pPr>
              <w:jc w:val="both"/>
              <w:rPr>
                <w:rFonts w:ascii="Arial" w:hAnsi="Arial" w:cs="Arial"/>
                <w:sz w:val="24"/>
                <w:szCs w:val="24"/>
              </w:rPr>
            </w:pPr>
          </w:p>
        </w:tc>
      </w:tr>
      <w:tr w:rsidR="00306B7C" w14:paraId="4F727F34" w14:textId="77777777" w:rsidTr="00DD1F05">
        <w:tc>
          <w:tcPr>
            <w:tcW w:w="3545" w:type="dxa"/>
            <w:shd w:val="clear" w:color="auto" w:fill="E7E6E6" w:themeFill="background2"/>
          </w:tcPr>
          <w:p w14:paraId="5785C6A7" w14:textId="4696BBB2"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4: Contractor survey results</w:t>
            </w:r>
          </w:p>
        </w:tc>
        <w:tc>
          <w:tcPr>
            <w:tcW w:w="7087" w:type="dxa"/>
          </w:tcPr>
          <w:p w14:paraId="4222E330" w14:textId="77777777" w:rsidR="00306B7C" w:rsidRDefault="00306B7C" w:rsidP="0099355D">
            <w:pPr>
              <w:jc w:val="both"/>
              <w:rPr>
                <w:rFonts w:ascii="Arial" w:hAnsi="Arial" w:cs="Arial"/>
                <w:sz w:val="24"/>
                <w:szCs w:val="24"/>
              </w:rPr>
            </w:pPr>
          </w:p>
        </w:tc>
      </w:tr>
      <w:tr w:rsidR="00306B7C" w14:paraId="7CEBFD91" w14:textId="77777777" w:rsidTr="00DD1F05">
        <w:tc>
          <w:tcPr>
            <w:tcW w:w="3545" w:type="dxa"/>
            <w:shd w:val="clear" w:color="auto" w:fill="E7E6E6" w:themeFill="background2"/>
          </w:tcPr>
          <w:p w14:paraId="067D66AD" w14:textId="561F24C4"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5: Enhanced and Locally Commissioned services</w:t>
            </w:r>
          </w:p>
        </w:tc>
        <w:tc>
          <w:tcPr>
            <w:tcW w:w="7087" w:type="dxa"/>
          </w:tcPr>
          <w:p w14:paraId="13D8BD89" w14:textId="77777777" w:rsidR="00306B7C" w:rsidRDefault="00306B7C" w:rsidP="0099355D">
            <w:pPr>
              <w:jc w:val="both"/>
              <w:rPr>
                <w:rFonts w:ascii="Arial" w:hAnsi="Arial" w:cs="Arial"/>
                <w:sz w:val="24"/>
                <w:szCs w:val="24"/>
              </w:rPr>
            </w:pPr>
          </w:p>
        </w:tc>
      </w:tr>
      <w:tr w:rsidR="00306B7C" w14:paraId="7832DDC7" w14:textId="77777777" w:rsidTr="00DD1F05">
        <w:tc>
          <w:tcPr>
            <w:tcW w:w="3545" w:type="dxa"/>
            <w:shd w:val="clear" w:color="auto" w:fill="E7E6E6" w:themeFill="background2"/>
          </w:tcPr>
          <w:p w14:paraId="7FC8CD5D" w14:textId="4959009A"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6: Manchester Pharmacies 2025</w:t>
            </w:r>
          </w:p>
        </w:tc>
        <w:tc>
          <w:tcPr>
            <w:tcW w:w="7087" w:type="dxa"/>
          </w:tcPr>
          <w:p w14:paraId="557B59DA" w14:textId="77777777" w:rsidR="00306B7C" w:rsidRDefault="00306B7C" w:rsidP="0099355D">
            <w:pPr>
              <w:jc w:val="both"/>
              <w:rPr>
                <w:rFonts w:ascii="Arial" w:hAnsi="Arial" w:cs="Arial"/>
                <w:sz w:val="24"/>
                <w:szCs w:val="24"/>
              </w:rPr>
            </w:pPr>
          </w:p>
        </w:tc>
      </w:tr>
      <w:tr w:rsidR="00306B7C" w14:paraId="1BA57CA9" w14:textId="77777777" w:rsidTr="00DD1F05">
        <w:tc>
          <w:tcPr>
            <w:tcW w:w="3545" w:type="dxa"/>
            <w:shd w:val="clear" w:color="auto" w:fill="E7E6E6" w:themeFill="background2"/>
          </w:tcPr>
          <w:p w14:paraId="2FD52FEA" w14:textId="643EAD6D"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7: Manchester Community Pharmacy Opening Hours Information 2025</w:t>
            </w:r>
          </w:p>
        </w:tc>
        <w:tc>
          <w:tcPr>
            <w:tcW w:w="7087" w:type="dxa"/>
          </w:tcPr>
          <w:p w14:paraId="209BFF7F" w14:textId="77777777" w:rsidR="00306B7C" w:rsidRDefault="00306B7C" w:rsidP="0099355D">
            <w:pPr>
              <w:jc w:val="both"/>
              <w:rPr>
                <w:rFonts w:ascii="Arial" w:hAnsi="Arial" w:cs="Arial"/>
                <w:sz w:val="24"/>
                <w:szCs w:val="24"/>
              </w:rPr>
            </w:pPr>
          </w:p>
        </w:tc>
      </w:tr>
      <w:tr w:rsidR="00306B7C" w14:paraId="7AD4A5D5" w14:textId="77777777" w:rsidTr="00DD1F05">
        <w:tc>
          <w:tcPr>
            <w:tcW w:w="3545" w:type="dxa"/>
            <w:shd w:val="clear" w:color="auto" w:fill="E7E6E6" w:themeFill="background2"/>
          </w:tcPr>
          <w:p w14:paraId="44168936" w14:textId="77777777"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8: Maps 2025</w:t>
            </w:r>
          </w:p>
          <w:p w14:paraId="14435DFB" w14:textId="77777777" w:rsidR="00306B7C" w:rsidRPr="00DD1F05" w:rsidRDefault="00306B7C" w:rsidP="00306B7C">
            <w:pPr>
              <w:pStyle w:val="NoSpacing"/>
              <w:rPr>
                <w:rFonts w:ascii="Arial" w:hAnsi="Arial" w:cs="Arial"/>
                <w:b/>
                <w:bCs/>
                <w:sz w:val="24"/>
                <w:szCs w:val="24"/>
              </w:rPr>
            </w:pPr>
          </w:p>
        </w:tc>
        <w:tc>
          <w:tcPr>
            <w:tcW w:w="7087" w:type="dxa"/>
          </w:tcPr>
          <w:p w14:paraId="777912D6" w14:textId="77777777" w:rsidR="00306B7C" w:rsidRDefault="00306B7C" w:rsidP="0099355D">
            <w:pPr>
              <w:jc w:val="both"/>
              <w:rPr>
                <w:rFonts w:ascii="Arial" w:hAnsi="Arial" w:cs="Arial"/>
                <w:sz w:val="24"/>
                <w:szCs w:val="24"/>
              </w:rPr>
            </w:pPr>
          </w:p>
        </w:tc>
      </w:tr>
      <w:tr w:rsidR="00306B7C" w14:paraId="14DF85E4" w14:textId="77777777" w:rsidTr="00DD1F05">
        <w:tc>
          <w:tcPr>
            <w:tcW w:w="3545" w:type="dxa"/>
            <w:shd w:val="clear" w:color="auto" w:fill="E7E6E6" w:themeFill="background2"/>
          </w:tcPr>
          <w:p w14:paraId="2AA7BBDB" w14:textId="3EC42CC4"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 xml:space="preserve">Appendix 9: Manchester GP </w:t>
            </w:r>
            <w:r w:rsidRPr="00DD1F05">
              <w:rPr>
                <w:rFonts w:ascii="Arial" w:hAnsi="Arial" w:cs="Arial"/>
                <w:b/>
                <w:bCs/>
                <w:sz w:val="24"/>
                <w:szCs w:val="24"/>
              </w:rPr>
              <w:t>P</w:t>
            </w:r>
            <w:r w:rsidRPr="00DD1F05">
              <w:rPr>
                <w:rFonts w:ascii="Arial" w:hAnsi="Arial" w:cs="Arial"/>
                <w:b/>
                <w:bCs/>
                <w:sz w:val="24"/>
                <w:szCs w:val="24"/>
              </w:rPr>
              <w:t>ractices</w:t>
            </w:r>
          </w:p>
        </w:tc>
        <w:tc>
          <w:tcPr>
            <w:tcW w:w="7087" w:type="dxa"/>
          </w:tcPr>
          <w:p w14:paraId="7FDE7947" w14:textId="77777777" w:rsidR="00306B7C" w:rsidRDefault="00306B7C" w:rsidP="0099355D">
            <w:pPr>
              <w:jc w:val="both"/>
              <w:rPr>
                <w:rFonts w:ascii="Arial" w:hAnsi="Arial" w:cs="Arial"/>
                <w:sz w:val="24"/>
                <w:szCs w:val="24"/>
              </w:rPr>
            </w:pPr>
          </w:p>
        </w:tc>
      </w:tr>
      <w:tr w:rsidR="00306B7C" w14:paraId="032D37F1" w14:textId="77777777" w:rsidTr="00DD1F05">
        <w:tc>
          <w:tcPr>
            <w:tcW w:w="3545" w:type="dxa"/>
            <w:shd w:val="clear" w:color="auto" w:fill="E7E6E6" w:themeFill="background2"/>
          </w:tcPr>
          <w:p w14:paraId="333B8CE0" w14:textId="69B908A5" w:rsidR="00306B7C" w:rsidRPr="00DD1F05" w:rsidRDefault="00DD1F05" w:rsidP="00306B7C">
            <w:pPr>
              <w:pStyle w:val="NoSpacing"/>
              <w:rPr>
                <w:rFonts w:ascii="Arial" w:hAnsi="Arial" w:cs="Arial"/>
                <w:b/>
                <w:bCs/>
                <w:sz w:val="24"/>
                <w:szCs w:val="24"/>
              </w:rPr>
            </w:pPr>
            <w:r w:rsidRPr="00DD1F05">
              <w:rPr>
                <w:rFonts w:ascii="Arial" w:hAnsi="Arial" w:cs="Arial"/>
                <w:b/>
                <w:bCs/>
                <w:sz w:val="24"/>
                <w:szCs w:val="24"/>
              </w:rPr>
              <w:t>Appendix 10: Pharmacies Within One Mile Boundary 2025</w:t>
            </w:r>
          </w:p>
        </w:tc>
        <w:tc>
          <w:tcPr>
            <w:tcW w:w="7087" w:type="dxa"/>
          </w:tcPr>
          <w:p w14:paraId="0E9848CA" w14:textId="77777777" w:rsidR="00306B7C" w:rsidRDefault="00306B7C" w:rsidP="0099355D">
            <w:pPr>
              <w:jc w:val="both"/>
              <w:rPr>
                <w:rFonts w:ascii="Arial" w:hAnsi="Arial" w:cs="Arial"/>
                <w:sz w:val="24"/>
                <w:szCs w:val="24"/>
              </w:rPr>
            </w:pPr>
          </w:p>
        </w:tc>
      </w:tr>
    </w:tbl>
    <w:p w14:paraId="308EDD85" w14:textId="1B71E7DB" w:rsidR="0039325F" w:rsidRPr="0039325F" w:rsidRDefault="0039325F" w:rsidP="00DD1F05">
      <w:pPr>
        <w:jc w:val="center"/>
        <w:rPr>
          <w:rFonts w:ascii="Arial" w:hAnsi="Arial" w:cs="Arial"/>
          <w:sz w:val="24"/>
          <w:szCs w:val="24"/>
        </w:rPr>
      </w:pPr>
    </w:p>
    <w:sectPr w:rsidR="0039325F" w:rsidRPr="003932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DF03" w14:textId="77777777" w:rsidR="0039325F" w:rsidRDefault="0039325F" w:rsidP="0039325F">
      <w:pPr>
        <w:spacing w:after="0" w:line="240" w:lineRule="auto"/>
      </w:pPr>
      <w:r>
        <w:separator/>
      </w:r>
    </w:p>
  </w:endnote>
  <w:endnote w:type="continuationSeparator" w:id="0">
    <w:p w14:paraId="0FF9CDD8" w14:textId="77777777" w:rsidR="0039325F" w:rsidRDefault="0039325F" w:rsidP="0039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8547" w14:textId="648AF0E6" w:rsidR="0039325F" w:rsidRDefault="0039325F">
    <w:pPr>
      <w:pStyle w:val="Footer"/>
    </w:pPr>
    <w:r w:rsidRPr="00332CD6">
      <w:rPr>
        <w:rFonts w:eastAsia="Arial" w:cs="Arial"/>
        <w:noProof/>
      </w:rPr>
      <w:drawing>
        <wp:anchor distT="0" distB="0" distL="114300" distR="114300" simplePos="0" relativeHeight="251663360" behindDoc="1" locked="0" layoutInCell="1" allowOverlap="1" wp14:anchorId="4148855D" wp14:editId="43D98575">
          <wp:simplePos x="0" y="0"/>
          <wp:positionH relativeFrom="page">
            <wp:posOffset>262393</wp:posOffset>
          </wp:positionH>
          <wp:positionV relativeFrom="page">
            <wp:posOffset>9944514</wp:posOffset>
          </wp:positionV>
          <wp:extent cx="2095499" cy="571500"/>
          <wp:effectExtent l="0" t="0" r="635" b="0"/>
          <wp:wrapNone/>
          <wp:docPr id="1093884570" name="Picture 109388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MICP-Letterhead.jpg"/>
                  <pic:cNvPicPr/>
                </pic:nvPicPr>
                <pic:blipFill rotWithShape="1">
                  <a:blip r:embed="rId1">
                    <a:extLst>
                      <a:ext uri="{28A0092B-C50C-407E-A947-70E740481C1C}">
                        <a14:useLocalDpi xmlns:a14="http://schemas.microsoft.com/office/drawing/2010/main" val="0"/>
                      </a:ext>
                    </a:extLst>
                  </a:blip>
                  <a:srcRect l="2392" t="92516" r="69783" b="2513"/>
                  <a:stretch/>
                </pic:blipFill>
                <pic:spPr bwMode="auto">
                  <a:xfrm>
                    <a:off x="0" y="0"/>
                    <a:ext cx="2095499"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7127" w14:textId="77777777" w:rsidR="0039325F" w:rsidRDefault="0039325F" w:rsidP="0039325F">
      <w:pPr>
        <w:spacing w:after="0" w:line="240" w:lineRule="auto"/>
      </w:pPr>
      <w:r>
        <w:separator/>
      </w:r>
    </w:p>
  </w:footnote>
  <w:footnote w:type="continuationSeparator" w:id="0">
    <w:p w14:paraId="6194EA8C" w14:textId="77777777" w:rsidR="0039325F" w:rsidRDefault="0039325F" w:rsidP="0039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9551" w14:textId="4C0229D9" w:rsidR="0039325F" w:rsidRDefault="0039325F">
    <w:pPr>
      <w:pStyle w:val="Header"/>
    </w:pPr>
    <w:r>
      <w:rPr>
        <w:noProof/>
        <w:lang w:eastAsia="en-GB"/>
      </w:rPr>
      <w:drawing>
        <wp:anchor distT="0" distB="0" distL="114300" distR="114300" simplePos="0" relativeHeight="251658240" behindDoc="1" locked="0" layoutInCell="1" allowOverlap="1" wp14:anchorId="5C023E6C" wp14:editId="286DE294">
          <wp:simplePos x="0" y="0"/>
          <wp:positionH relativeFrom="margin">
            <wp:posOffset>-557254</wp:posOffset>
          </wp:positionH>
          <wp:positionV relativeFrom="paragraph">
            <wp:posOffset>-91771</wp:posOffset>
          </wp:positionV>
          <wp:extent cx="1677670" cy="323215"/>
          <wp:effectExtent l="0" t="0" r="0" b="635"/>
          <wp:wrapTight wrapText="bothSides">
            <wp:wrapPolygon edited="0">
              <wp:start x="491" y="0"/>
              <wp:lineTo x="0" y="1273"/>
              <wp:lineTo x="0" y="15277"/>
              <wp:lineTo x="245" y="20369"/>
              <wp:lineTo x="17414" y="20369"/>
              <wp:lineTo x="21338" y="11458"/>
              <wp:lineTo x="21338" y="0"/>
              <wp:lineTo x="491" y="0"/>
            </wp:wrapPolygon>
          </wp:wrapTight>
          <wp:docPr id="10" name="Picture 10" descr="Manch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anchester City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677670" cy="323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43E1F25" wp14:editId="1D641E56">
          <wp:simplePos x="0" y="0"/>
          <wp:positionH relativeFrom="page">
            <wp:posOffset>5213874</wp:posOffset>
          </wp:positionH>
          <wp:positionV relativeFrom="paragraph">
            <wp:posOffset>-429977</wp:posOffset>
          </wp:positionV>
          <wp:extent cx="2203450" cy="833738"/>
          <wp:effectExtent l="0" t="0" r="6350" b="5080"/>
          <wp:wrapTight wrapText="bothSides">
            <wp:wrapPolygon edited="0">
              <wp:start x="0" y="0"/>
              <wp:lineTo x="0" y="21238"/>
              <wp:lineTo x="21476" y="21238"/>
              <wp:lineTo x="21476" y="0"/>
              <wp:lineTo x="0" y="0"/>
            </wp:wrapPolygon>
          </wp:wrapTight>
          <wp:docPr id="1843261836" name="Picture 184326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9992" t="27562" r="21261" b="59826"/>
                  <a:stretch/>
                </pic:blipFill>
                <pic:spPr bwMode="auto">
                  <a:xfrm>
                    <a:off x="0" y="0"/>
                    <a:ext cx="2203450" cy="833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6CE"/>
    <w:multiLevelType w:val="hybridMultilevel"/>
    <w:tmpl w:val="7C2E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F2837"/>
    <w:multiLevelType w:val="hybridMultilevel"/>
    <w:tmpl w:val="B11C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10603B"/>
    <w:multiLevelType w:val="multilevel"/>
    <w:tmpl w:val="EBCC7A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72337094">
    <w:abstractNumId w:val="2"/>
  </w:num>
  <w:num w:numId="2" w16cid:durableId="1000541078">
    <w:abstractNumId w:val="1"/>
  </w:num>
  <w:num w:numId="3" w16cid:durableId="210144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5F"/>
    <w:rsid w:val="00306B7C"/>
    <w:rsid w:val="0039325F"/>
    <w:rsid w:val="003C47DE"/>
    <w:rsid w:val="004E13CA"/>
    <w:rsid w:val="00530776"/>
    <w:rsid w:val="00903907"/>
    <w:rsid w:val="0099355D"/>
    <w:rsid w:val="00BE708A"/>
    <w:rsid w:val="00C209BC"/>
    <w:rsid w:val="00D23AD1"/>
    <w:rsid w:val="00DD1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C2591"/>
  <w15:chartTrackingRefBased/>
  <w15:docId w15:val="{E1DD2560-8299-420B-A30F-F93668A2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25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25F"/>
  </w:style>
  <w:style w:type="paragraph" w:styleId="Footer">
    <w:name w:val="footer"/>
    <w:basedOn w:val="Normal"/>
    <w:link w:val="FooterChar"/>
    <w:uiPriority w:val="99"/>
    <w:unhideWhenUsed/>
    <w:rsid w:val="00393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25F"/>
  </w:style>
  <w:style w:type="paragraph" w:styleId="ListParagraph">
    <w:name w:val="List Paragraph"/>
    <w:basedOn w:val="Normal"/>
    <w:uiPriority w:val="34"/>
    <w:qFormat/>
    <w:rsid w:val="0039325F"/>
    <w:pPr>
      <w:ind w:left="720"/>
      <w:contextualSpacing/>
    </w:pPr>
  </w:style>
  <w:style w:type="table" w:styleId="TableGrid">
    <w:name w:val="Table Grid"/>
    <w:basedOn w:val="TableNormal"/>
    <w:uiPriority w:val="39"/>
    <w:rsid w:val="0039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06B7C"/>
    <w:pPr>
      <w:spacing w:after="0" w:line="240" w:lineRule="auto"/>
    </w:pPr>
    <w:rPr>
      <w:kern w:val="0"/>
      <w14:ligatures w14:val="none"/>
    </w:rPr>
  </w:style>
  <w:style w:type="character" w:customStyle="1" w:styleId="NoSpacingChar">
    <w:name w:val="No Spacing Char"/>
    <w:link w:val="NoSpacing"/>
    <w:uiPriority w:val="1"/>
    <w:locked/>
    <w:rsid w:val="00306B7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GM</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Jamie (NHS GREATER MANCHESTER ICB - 14L)</dc:creator>
  <cp:keywords/>
  <dc:description/>
  <cp:lastModifiedBy>HIGGINS, Jamie (NHS GREATER MANCHESTER ICB - 14L)</cp:lastModifiedBy>
  <cp:revision>5</cp:revision>
  <dcterms:created xsi:type="dcterms:W3CDTF">2025-02-10T14:12:00Z</dcterms:created>
  <dcterms:modified xsi:type="dcterms:W3CDTF">2025-05-20T17:28:00Z</dcterms:modified>
</cp:coreProperties>
</file>